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510"/>
      </w:tblGrid>
      <w:tr w:rsidR="007B23FC" w:rsidTr="00421A4C">
        <w:tc>
          <w:tcPr>
            <w:tcW w:w="8510" w:type="dxa"/>
            <w:tcBorders>
              <w:bottom w:val="single" w:sz="18" w:space="0" w:color="auto"/>
            </w:tcBorders>
          </w:tcPr>
          <w:p w:rsidR="007B23FC" w:rsidRDefault="00432899" w:rsidP="00A53B04">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1" layoutInCell="1" allowOverlap="1" wp14:anchorId="6A3FF6FF" wp14:editId="32F38362">
                  <wp:simplePos x="0" y="0"/>
                  <wp:positionH relativeFrom="column">
                    <wp:posOffset>-85725</wp:posOffset>
                  </wp:positionH>
                  <wp:positionV relativeFrom="page">
                    <wp:posOffset>97155</wp:posOffset>
                  </wp:positionV>
                  <wp:extent cx="5406390" cy="869315"/>
                  <wp:effectExtent l="0" t="0" r="3810" b="6985"/>
                  <wp:wrapNone/>
                  <wp:docPr id="3" name="Picture 3" descr="Black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letterhead"/>
                          <pic:cNvPicPr>
                            <a:picLocks noChangeAspect="1" noChangeArrowheads="1"/>
                          </pic:cNvPicPr>
                        </pic:nvPicPr>
                        <pic:blipFill>
                          <a:blip r:embed="rId9">
                            <a:extLst>
                              <a:ext uri="{28A0092B-C50C-407E-A947-70E740481C1C}">
                                <a14:useLocalDpi xmlns:a14="http://schemas.microsoft.com/office/drawing/2010/main" val="0"/>
                              </a:ext>
                            </a:extLst>
                          </a:blip>
                          <a:srcRect l="29193"/>
                          <a:stretch>
                            <a:fillRect/>
                          </a:stretch>
                        </pic:blipFill>
                        <pic:spPr bwMode="auto">
                          <a:xfrm>
                            <a:off x="0" y="0"/>
                            <a:ext cx="540639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FC">
              <w:rPr>
                <w:rFonts w:ascii="Arial Black" w:hAnsi="Arial Black"/>
                <w:color w:val="999999"/>
                <w:sz w:val="36"/>
                <w:szCs w:val="36"/>
              </w:rPr>
              <w:t xml:space="preserve">     </w:t>
            </w:r>
          </w:p>
          <w:p w:rsidR="007B23FC" w:rsidRDefault="007B23FC" w:rsidP="00A53B04">
            <w:pPr>
              <w:pStyle w:val="Infotext"/>
              <w:rPr>
                <w:rFonts w:ascii="Arial Black" w:hAnsi="Arial Black"/>
                <w:color w:val="999999"/>
                <w:sz w:val="36"/>
                <w:szCs w:val="36"/>
              </w:rPr>
            </w:pPr>
          </w:p>
          <w:p w:rsidR="007B23FC" w:rsidRDefault="007B23FC" w:rsidP="00A53B04">
            <w:pPr>
              <w:pStyle w:val="Infotext"/>
              <w:rPr>
                <w:rFonts w:ascii="Arial Black" w:hAnsi="Arial Black"/>
                <w:color w:val="999999"/>
                <w:sz w:val="36"/>
                <w:szCs w:val="36"/>
              </w:rPr>
            </w:pPr>
          </w:p>
          <w:p w:rsidR="007B23FC" w:rsidRPr="007B23FC" w:rsidRDefault="007B23FC" w:rsidP="00A53B04">
            <w:pPr>
              <w:rPr>
                <w:rFonts w:ascii="Arial Black" w:hAnsi="Arial Black" w:cs="Arial"/>
                <w:szCs w:val="36"/>
              </w:rPr>
            </w:pPr>
          </w:p>
        </w:tc>
      </w:tr>
    </w:tbl>
    <w:p w:rsidR="004076C8" w:rsidRPr="0036201C" w:rsidRDefault="004076C8"/>
    <w:tbl>
      <w:tblPr>
        <w:tblW w:w="0" w:type="auto"/>
        <w:tblLayout w:type="fixed"/>
        <w:tblLook w:val="0000" w:firstRow="0" w:lastRow="0" w:firstColumn="0" w:lastColumn="0" w:noHBand="0" w:noVBand="0"/>
      </w:tblPr>
      <w:tblGrid>
        <w:gridCol w:w="3456"/>
        <w:gridCol w:w="5054"/>
      </w:tblGrid>
      <w:tr w:rsidR="00333FAA">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333FAA">
        <w:tc>
          <w:tcPr>
            <w:tcW w:w="3456"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54" w:type="dxa"/>
            <w:tcBorders>
              <w:top w:val="single" w:sz="18" w:space="0" w:color="auto"/>
            </w:tcBorders>
          </w:tcPr>
          <w:p w:rsidR="00333FAA" w:rsidRPr="005E3A10" w:rsidRDefault="00C90DB3" w:rsidP="00A53B04">
            <w:pPr>
              <w:rPr>
                <w:rFonts w:cs="Arial"/>
                <w:szCs w:val="24"/>
              </w:rPr>
            </w:pPr>
            <w:r>
              <w:rPr>
                <w:rFonts w:cs="Arial"/>
                <w:szCs w:val="24"/>
              </w:rPr>
              <w:t>8</w:t>
            </w:r>
            <w:r w:rsidR="00105B2C">
              <w:rPr>
                <w:rFonts w:cs="Arial"/>
                <w:szCs w:val="24"/>
              </w:rPr>
              <w:t xml:space="preserve"> December 20</w:t>
            </w:r>
            <w:r>
              <w:rPr>
                <w:rFonts w:cs="Arial"/>
                <w:szCs w:val="24"/>
              </w:rPr>
              <w:t>16</w:t>
            </w:r>
          </w:p>
        </w:tc>
      </w:tr>
      <w:tr w:rsidR="00333FAA">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54" w:type="dxa"/>
          </w:tcPr>
          <w:p w:rsidR="00333FAA" w:rsidRPr="005E3A10" w:rsidRDefault="00105B2C">
            <w:pPr>
              <w:rPr>
                <w:rFonts w:cs="Arial"/>
                <w:szCs w:val="24"/>
              </w:rPr>
            </w:pPr>
            <w:r>
              <w:rPr>
                <w:rFonts w:cs="Arial"/>
                <w:szCs w:val="24"/>
              </w:rPr>
              <w:t>Draft Capital Programme 201</w:t>
            </w:r>
            <w:r w:rsidR="00BB36D9">
              <w:rPr>
                <w:rFonts w:cs="Arial"/>
                <w:szCs w:val="24"/>
              </w:rPr>
              <w:t>7</w:t>
            </w:r>
            <w:r>
              <w:rPr>
                <w:rFonts w:cs="Arial"/>
                <w:szCs w:val="24"/>
              </w:rPr>
              <w:t>/1</w:t>
            </w:r>
            <w:r w:rsidR="00C90DB3">
              <w:rPr>
                <w:rFonts w:cs="Arial"/>
                <w:szCs w:val="24"/>
              </w:rPr>
              <w:t>8</w:t>
            </w:r>
            <w:r>
              <w:rPr>
                <w:rFonts w:cs="Arial"/>
                <w:szCs w:val="24"/>
              </w:rPr>
              <w:t xml:space="preserve"> to 2019/20</w:t>
            </w:r>
          </w:p>
        </w:tc>
      </w:tr>
      <w:tr w:rsidR="00333FAA">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54" w:type="dxa"/>
          </w:tcPr>
          <w:p w:rsidR="001C7E35" w:rsidRDefault="001C7E35" w:rsidP="001C7E35">
            <w:pPr>
              <w:pStyle w:val="Infotext"/>
              <w:rPr>
                <w:rFonts w:cs="Arial"/>
                <w:sz w:val="24"/>
                <w:szCs w:val="24"/>
              </w:rPr>
            </w:pPr>
            <w:r w:rsidRPr="005E3A10">
              <w:rPr>
                <w:rFonts w:cs="Arial"/>
                <w:sz w:val="24"/>
                <w:szCs w:val="24"/>
              </w:rPr>
              <w:t xml:space="preserve">Yes </w:t>
            </w:r>
          </w:p>
          <w:p w:rsidR="00105B2C" w:rsidRPr="005E3A10" w:rsidRDefault="00105B2C" w:rsidP="001C7E35">
            <w:pPr>
              <w:pStyle w:val="Infotext"/>
              <w:rPr>
                <w:rFonts w:cs="Arial"/>
                <w:sz w:val="24"/>
                <w:szCs w:val="24"/>
              </w:rPr>
            </w:pPr>
            <w:r>
              <w:rPr>
                <w:rFonts w:cs="Arial"/>
                <w:sz w:val="24"/>
                <w:szCs w:val="24"/>
              </w:rPr>
              <w:t>Involves expenditure in excess of £1m</w:t>
            </w:r>
          </w:p>
          <w:p w:rsidR="00333FAA" w:rsidRPr="005E3A10" w:rsidRDefault="00333FAA" w:rsidP="00105B2C">
            <w:pPr>
              <w:pStyle w:val="Infotext"/>
              <w:rPr>
                <w:rFonts w:cs="Arial"/>
                <w:szCs w:val="24"/>
              </w:rPr>
            </w:pPr>
          </w:p>
        </w:tc>
      </w:tr>
      <w:tr w:rsidR="001C7E35">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54" w:type="dxa"/>
          </w:tcPr>
          <w:p w:rsidR="00105B2C" w:rsidRDefault="00105B2C" w:rsidP="00D835CF">
            <w:pPr>
              <w:pStyle w:val="Infotext"/>
              <w:rPr>
                <w:rFonts w:cs="Arial"/>
                <w:sz w:val="24"/>
                <w:szCs w:val="24"/>
              </w:rPr>
            </w:pPr>
            <w:r>
              <w:rPr>
                <w:rFonts w:cs="Arial"/>
                <w:sz w:val="24"/>
                <w:szCs w:val="24"/>
              </w:rPr>
              <w:t>Dawn Calvert, Director of Finance</w:t>
            </w:r>
          </w:p>
          <w:p w:rsidR="001C7E35" w:rsidRPr="005E3A10" w:rsidRDefault="001C7E35" w:rsidP="00105B2C">
            <w:pPr>
              <w:pStyle w:val="Infotext"/>
              <w:rPr>
                <w:rFonts w:cs="Arial"/>
                <w:sz w:val="24"/>
                <w:szCs w:val="24"/>
              </w:rPr>
            </w:pPr>
          </w:p>
        </w:tc>
      </w:tr>
      <w:tr w:rsidR="001C7E35">
        <w:tc>
          <w:tcPr>
            <w:tcW w:w="3456"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54" w:type="dxa"/>
          </w:tcPr>
          <w:p w:rsidR="001C7E35" w:rsidRPr="005E3A10" w:rsidRDefault="00105B2C">
            <w:pPr>
              <w:pStyle w:val="Infotext"/>
              <w:rPr>
                <w:rFonts w:cs="Arial"/>
                <w:color w:val="FF0000"/>
                <w:sz w:val="24"/>
                <w:szCs w:val="24"/>
              </w:rPr>
            </w:pPr>
            <w:r w:rsidRPr="00105B2C">
              <w:rPr>
                <w:rFonts w:cs="Arial"/>
                <w:sz w:val="24"/>
                <w:szCs w:val="24"/>
              </w:rPr>
              <w:t xml:space="preserve">Councillor </w:t>
            </w:r>
            <w:r w:rsidR="00461E22" w:rsidRPr="00461E22">
              <w:rPr>
                <w:rFonts w:cs="Arial"/>
                <w:sz w:val="24"/>
                <w:szCs w:val="24"/>
              </w:rPr>
              <w:t xml:space="preserve">Adam Swersky, Portfolio Holder for Finance and Commercialisation </w:t>
            </w:r>
          </w:p>
        </w:tc>
      </w:tr>
      <w:tr w:rsidR="001C7E35">
        <w:tc>
          <w:tcPr>
            <w:tcW w:w="3456"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54" w:type="dxa"/>
          </w:tcPr>
          <w:p w:rsidR="001C7E35" w:rsidRPr="005E3A10" w:rsidRDefault="001C7E35" w:rsidP="00D835CF">
            <w:pPr>
              <w:pStyle w:val="Infotext"/>
              <w:rPr>
                <w:rFonts w:cs="Arial"/>
                <w:sz w:val="24"/>
                <w:szCs w:val="24"/>
              </w:rPr>
            </w:pPr>
            <w:r w:rsidRPr="005E3A10">
              <w:rPr>
                <w:rFonts w:cs="Arial"/>
                <w:sz w:val="24"/>
                <w:szCs w:val="24"/>
              </w:rPr>
              <w:t>No</w:t>
            </w:r>
          </w:p>
          <w:p w:rsidR="001C7E35" w:rsidRPr="005E3A10" w:rsidRDefault="001C7E35" w:rsidP="00105B2C">
            <w:pPr>
              <w:pStyle w:val="Infotext"/>
              <w:rPr>
                <w:rFonts w:cs="Arial"/>
                <w:color w:val="FF0000"/>
                <w:sz w:val="24"/>
                <w:szCs w:val="24"/>
              </w:rPr>
            </w:pPr>
          </w:p>
        </w:tc>
      </w:tr>
      <w:tr w:rsidR="001C7E35">
        <w:tc>
          <w:tcPr>
            <w:tcW w:w="3456"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54" w:type="dxa"/>
          </w:tcPr>
          <w:p w:rsidR="001C7E35" w:rsidRPr="005E3A10" w:rsidRDefault="001C7E35" w:rsidP="00D835CF">
            <w:pPr>
              <w:pStyle w:val="Infotext"/>
              <w:rPr>
                <w:rFonts w:cs="Arial"/>
                <w:sz w:val="24"/>
                <w:szCs w:val="24"/>
              </w:rPr>
            </w:pPr>
            <w:r w:rsidRPr="005E3A10">
              <w:rPr>
                <w:rFonts w:cs="Arial"/>
                <w:sz w:val="24"/>
                <w:szCs w:val="24"/>
              </w:rPr>
              <w:t xml:space="preserve">Yes </w:t>
            </w:r>
          </w:p>
          <w:p w:rsidR="00714BEE" w:rsidRPr="005E3A10" w:rsidRDefault="00714BEE" w:rsidP="00105B2C">
            <w:pPr>
              <w:rPr>
                <w:rFonts w:cs="Arial"/>
                <w:szCs w:val="24"/>
              </w:rPr>
            </w:pPr>
          </w:p>
        </w:tc>
      </w:tr>
      <w:tr w:rsidR="001C7E35">
        <w:tc>
          <w:tcPr>
            <w:tcW w:w="3456"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54" w:type="dxa"/>
          </w:tcPr>
          <w:p w:rsidR="001C7E35" w:rsidRPr="005E3A10" w:rsidRDefault="00105B2C" w:rsidP="00D835CF">
            <w:pPr>
              <w:rPr>
                <w:rFonts w:cs="Arial"/>
                <w:szCs w:val="24"/>
              </w:rPr>
            </w:pPr>
            <w:r>
              <w:rPr>
                <w:rFonts w:cs="Arial"/>
                <w:szCs w:val="24"/>
              </w:rPr>
              <w:t>All</w:t>
            </w:r>
          </w:p>
        </w:tc>
      </w:tr>
      <w:tr w:rsidR="001C7E35">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054" w:type="dxa"/>
          </w:tcPr>
          <w:p w:rsidR="00105B2C" w:rsidRDefault="00105B2C" w:rsidP="00105B2C">
            <w:pPr>
              <w:pStyle w:val="Infotext"/>
              <w:rPr>
                <w:rFonts w:cs="Arial"/>
                <w:sz w:val="24"/>
                <w:szCs w:val="24"/>
              </w:rPr>
            </w:pPr>
            <w:r w:rsidRPr="00105B2C">
              <w:rPr>
                <w:rFonts w:cs="Arial"/>
                <w:sz w:val="24"/>
                <w:szCs w:val="24"/>
              </w:rPr>
              <w:t>Appendix 1 – Draft</w:t>
            </w:r>
            <w:r w:rsidR="00461E22">
              <w:rPr>
                <w:rFonts w:cs="Arial"/>
                <w:sz w:val="24"/>
                <w:szCs w:val="24"/>
              </w:rPr>
              <w:t xml:space="preserve">  of Proposed New(addition</w:t>
            </w:r>
            <w:r w:rsidR="00E23647">
              <w:rPr>
                <w:rFonts w:cs="Arial"/>
                <w:sz w:val="24"/>
                <w:szCs w:val="24"/>
              </w:rPr>
              <w:t>s</w:t>
            </w:r>
            <w:r w:rsidR="00461E22">
              <w:rPr>
                <w:rFonts w:cs="Arial"/>
                <w:sz w:val="24"/>
                <w:szCs w:val="24"/>
              </w:rPr>
              <w:t xml:space="preserve">)  </w:t>
            </w:r>
            <w:r w:rsidR="00E23647">
              <w:rPr>
                <w:rFonts w:cs="Arial"/>
                <w:sz w:val="24"/>
                <w:szCs w:val="24"/>
              </w:rPr>
              <w:t xml:space="preserve">to </w:t>
            </w:r>
            <w:r w:rsidR="00461E22">
              <w:rPr>
                <w:rFonts w:cs="Arial"/>
                <w:sz w:val="24"/>
                <w:szCs w:val="24"/>
              </w:rPr>
              <w:t>Capital</w:t>
            </w:r>
            <w:r w:rsidRPr="00105B2C">
              <w:rPr>
                <w:rFonts w:cs="Arial"/>
                <w:sz w:val="24"/>
                <w:szCs w:val="24"/>
              </w:rPr>
              <w:t xml:space="preserve"> Programme</w:t>
            </w:r>
            <w:r w:rsidR="00E23647">
              <w:rPr>
                <w:rFonts w:cs="Arial"/>
                <w:sz w:val="24"/>
                <w:szCs w:val="24"/>
              </w:rPr>
              <w:t xml:space="preserve"> 2017/18 to 2019/20</w:t>
            </w:r>
          </w:p>
          <w:p w:rsidR="00E23647" w:rsidRPr="00105B2C" w:rsidRDefault="00E23647" w:rsidP="00105B2C">
            <w:pPr>
              <w:pStyle w:val="Infotext"/>
              <w:rPr>
                <w:rFonts w:cs="Arial"/>
                <w:sz w:val="24"/>
                <w:szCs w:val="24"/>
              </w:rPr>
            </w:pPr>
          </w:p>
          <w:p w:rsidR="00DE6A36" w:rsidRDefault="00105B2C" w:rsidP="00105B2C">
            <w:pPr>
              <w:pStyle w:val="Infotext"/>
              <w:rPr>
                <w:rFonts w:cs="Arial"/>
                <w:sz w:val="24"/>
                <w:szCs w:val="24"/>
              </w:rPr>
            </w:pPr>
            <w:r w:rsidRPr="00105B2C">
              <w:rPr>
                <w:rFonts w:cs="Arial"/>
                <w:sz w:val="24"/>
                <w:szCs w:val="24"/>
              </w:rPr>
              <w:t xml:space="preserve">Appendix 2 – Draft </w:t>
            </w:r>
            <w:r w:rsidR="009D4BC8">
              <w:rPr>
                <w:rFonts w:cs="Arial"/>
                <w:sz w:val="24"/>
                <w:szCs w:val="24"/>
              </w:rPr>
              <w:t xml:space="preserve">of revisions to the </w:t>
            </w:r>
            <w:r w:rsidR="00461E22">
              <w:rPr>
                <w:rFonts w:cs="Arial"/>
                <w:sz w:val="24"/>
                <w:szCs w:val="24"/>
              </w:rPr>
              <w:t xml:space="preserve"> Existing </w:t>
            </w:r>
            <w:r w:rsidRPr="00105B2C">
              <w:rPr>
                <w:rFonts w:cs="Arial"/>
                <w:sz w:val="24"/>
                <w:szCs w:val="24"/>
              </w:rPr>
              <w:t>Capital Programme</w:t>
            </w:r>
            <w:r w:rsidR="00FA1D36">
              <w:rPr>
                <w:rFonts w:cs="Arial"/>
                <w:sz w:val="24"/>
                <w:szCs w:val="24"/>
              </w:rPr>
              <w:t xml:space="preserve"> 2016/17 to 2019/20</w:t>
            </w:r>
          </w:p>
          <w:p w:rsidR="005B32A5" w:rsidRDefault="005B32A5" w:rsidP="00105B2C">
            <w:pPr>
              <w:pStyle w:val="Infotext"/>
              <w:rPr>
                <w:rFonts w:cs="Arial"/>
                <w:sz w:val="24"/>
                <w:szCs w:val="24"/>
              </w:rPr>
            </w:pPr>
          </w:p>
          <w:p w:rsidR="005B32A5" w:rsidRDefault="005B32A5" w:rsidP="00105B2C">
            <w:pPr>
              <w:pStyle w:val="Infotext"/>
              <w:rPr>
                <w:rFonts w:cs="Arial"/>
                <w:sz w:val="24"/>
                <w:szCs w:val="24"/>
              </w:rPr>
            </w:pPr>
          </w:p>
          <w:p w:rsidR="00D27997" w:rsidRPr="005E3A10" w:rsidRDefault="00D27997" w:rsidP="00105B2C">
            <w:pPr>
              <w:pStyle w:val="Infotext"/>
              <w:rPr>
                <w:color w:val="FF0000"/>
                <w:sz w:val="24"/>
                <w:szCs w:val="24"/>
              </w:rPr>
            </w:pPr>
          </w:p>
        </w:tc>
      </w:tr>
    </w:tbl>
    <w:p w:rsidR="00333FAA" w:rsidRDefault="00333FAA" w:rsidP="00333FAA">
      <w:pPr>
        <w:rPr>
          <w:rFonts w:cs="Arial"/>
        </w:rPr>
      </w:pPr>
    </w:p>
    <w:p w:rsidR="00B57442" w:rsidRDefault="00B57442" w:rsidP="00333FAA">
      <w:pPr>
        <w:rPr>
          <w:rFonts w:cs="Arial"/>
        </w:rPr>
      </w:pPr>
    </w:p>
    <w:p w:rsidR="00B57442" w:rsidRDefault="00B57442" w:rsidP="00333FAA">
      <w:pPr>
        <w:rPr>
          <w:rFonts w:cs="Arial"/>
        </w:rPr>
      </w:pPr>
    </w:p>
    <w:p w:rsidR="00B57442" w:rsidRDefault="00B57442" w:rsidP="00333FAA">
      <w:pPr>
        <w:rPr>
          <w:rFonts w:cs="Arial"/>
        </w:rPr>
      </w:pPr>
    </w:p>
    <w:p w:rsidR="00B57442" w:rsidRDefault="00B57442" w:rsidP="00333FAA">
      <w:pPr>
        <w:rPr>
          <w:rFonts w:cs="Arial"/>
        </w:rPr>
      </w:pPr>
    </w:p>
    <w:p w:rsidR="00B57442" w:rsidRDefault="00B57442" w:rsidP="00333FAA">
      <w:pPr>
        <w:rPr>
          <w:rFonts w:cs="Arial"/>
        </w:rPr>
      </w:pPr>
    </w:p>
    <w:p w:rsidR="00B57442" w:rsidRDefault="00B57442" w:rsidP="00333FAA">
      <w:pPr>
        <w:rPr>
          <w:rFonts w:cs="Arial"/>
        </w:rPr>
      </w:pPr>
    </w:p>
    <w:p w:rsidR="00B57442" w:rsidRDefault="00B57442" w:rsidP="00333FAA">
      <w:pPr>
        <w:rPr>
          <w:rFonts w:cs="Arial"/>
        </w:rPr>
      </w:pPr>
    </w:p>
    <w:p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t>Section 1 – Summary and Recommendations</w:t>
            </w:r>
          </w:p>
          <w:p w:rsidR="00333FAA" w:rsidRDefault="00333FAA" w:rsidP="00A53B04"/>
        </w:tc>
      </w:tr>
      <w:tr w:rsidR="00333FAA">
        <w:tc>
          <w:tcPr>
            <w:tcW w:w="8525" w:type="dxa"/>
          </w:tcPr>
          <w:p w:rsidR="00333FAA" w:rsidRDefault="00333FAA" w:rsidP="00A53B04"/>
          <w:p w:rsidR="00105B2C" w:rsidRPr="00830C10" w:rsidRDefault="00105B2C" w:rsidP="00105B2C">
            <w:pPr>
              <w:rPr>
                <w:color w:val="0000FF"/>
              </w:rPr>
            </w:pPr>
            <w:r w:rsidRPr="00830C10">
              <w:rPr>
                <w:rFonts w:cs="Arial"/>
                <w:szCs w:val="24"/>
              </w:rPr>
              <w:t xml:space="preserve">This report sets out the </w:t>
            </w:r>
            <w:r w:rsidR="00B57442">
              <w:rPr>
                <w:rFonts w:cs="Arial"/>
                <w:szCs w:val="24"/>
              </w:rPr>
              <w:t xml:space="preserve">new </w:t>
            </w:r>
            <w:r w:rsidR="009D4BC8">
              <w:rPr>
                <w:rFonts w:cs="Arial"/>
                <w:szCs w:val="24"/>
              </w:rPr>
              <w:t xml:space="preserve">draft </w:t>
            </w:r>
            <w:r w:rsidR="005B32A5">
              <w:rPr>
                <w:rFonts w:cs="Arial"/>
                <w:szCs w:val="24"/>
              </w:rPr>
              <w:t xml:space="preserve">General Fund </w:t>
            </w:r>
            <w:r w:rsidR="00B57442">
              <w:rPr>
                <w:rFonts w:cs="Arial"/>
                <w:szCs w:val="24"/>
              </w:rPr>
              <w:t xml:space="preserve">capital </w:t>
            </w:r>
            <w:r w:rsidR="009D4BC8">
              <w:rPr>
                <w:rFonts w:cs="Arial"/>
                <w:szCs w:val="24"/>
              </w:rPr>
              <w:t xml:space="preserve">programmes </w:t>
            </w:r>
            <w:r w:rsidR="00DE6A36">
              <w:rPr>
                <w:rFonts w:cs="Arial"/>
                <w:szCs w:val="24"/>
              </w:rPr>
              <w:t xml:space="preserve"> </w:t>
            </w:r>
            <w:r w:rsidR="00B57442">
              <w:rPr>
                <w:rFonts w:cs="Arial"/>
                <w:szCs w:val="24"/>
              </w:rPr>
              <w:t xml:space="preserve">which have been proposed as part of the </w:t>
            </w:r>
            <w:r w:rsidR="00DE6A36">
              <w:rPr>
                <w:rFonts w:cs="Arial"/>
                <w:szCs w:val="24"/>
              </w:rPr>
              <w:t>2017/18 budget process</w:t>
            </w:r>
            <w:r w:rsidR="00B57442">
              <w:rPr>
                <w:rFonts w:cs="Arial"/>
                <w:szCs w:val="24"/>
              </w:rPr>
              <w:t xml:space="preserve"> and also sets out budgets </w:t>
            </w:r>
            <w:r w:rsidR="007F4BDA">
              <w:rPr>
                <w:rFonts w:cs="Arial"/>
                <w:szCs w:val="24"/>
              </w:rPr>
              <w:t xml:space="preserve">within the existing Capital Programme </w:t>
            </w:r>
            <w:r w:rsidR="00B57442">
              <w:rPr>
                <w:rFonts w:cs="Arial"/>
                <w:szCs w:val="24"/>
              </w:rPr>
              <w:t>which have been re-profiled between 2016/17 and 2019/20</w:t>
            </w:r>
            <w:r w:rsidR="009D4BC8">
              <w:rPr>
                <w:rFonts w:cs="Arial"/>
                <w:szCs w:val="24"/>
              </w:rPr>
              <w:t xml:space="preserve"> and where </w:t>
            </w:r>
            <w:proofErr w:type="spellStart"/>
            <w:r w:rsidR="009D4BC8">
              <w:rPr>
                <w:rFonts w:cs="Arial"/>
                <w:szCs w:val="24"/>
              </w:rPr>
              <w:t>virements</w:t>
            </w:r>
            <w:proofErr w:type="spellEnd"/>
            <w:r w:rsidR="009D4BC8">
              <w:rPr>
                <w:rFonts w:cs="Arial"/>
                <w:szCs w:val="24"/>
              </w:rPr>
              <w:t xml:space="preserve"> are proposed between projects</w:t>
            </w:r>
            <w:r w:rsidR="00DE6A36">
              <w:rPr>
                <w:rFonts w:cs="Arial"/>
                <w:szCs w:val="24"/>
              </w:rPr>
              <w:t>.</w:t>
            </w:r>
          </w:p>
          <w:p w:rsidR="00105B2C" w:rsidRPr="00830C10" w:rsidRDefault="00105B2C" w:rsidP="00105B2C">
            <w:pPr>
              <w:pStyle w:val="Heading2"/>
            </w:pPr>
          </w:p>
          <w:p w:rsidR="00105B2C" w:rsidRPr="00830C10" w:rsidRDefault="00105B2C" w:rsidP="00105B2C">
            <w:pPr>
              <w:pStyle w:val="Heading2"/>
            </w:pPr>
            <w:r w:rsidRPr="00830C10">
              <w:t xml:space="preserve">Recommendations: </w:t>
            </w:r>
          </w:p>
          <w:p w:rsidR="009D4BC8" w:rsidRDefault="00105B2C" w:rsidP="00C64714">
            <w:pPr>
              <w:pStyle w:val="ListParagraph"/>
              <w:numPr>
                <w:ilvl w:val="0"/>
                <w:numId w:val="38"/>
              </w:numPr>
              <w:rPr>
                <w:rFonts w:cs="Arial"/>
                <w:szCs w:val="24"/>
              </w:rPr>
            </w:pPr>
            <w:r w:rsidRPr="00830C10">
              <w:t>Cabinet is requested to</w:t>
            </w:r>
            <w:r w:rsidRPr="009D4BC8">
              <w:rPr>
                <w:rFonts w:cs="Arial"/>
                <w:szCs w:val="24"/>
              </w:rPr>
              <w:t xml:space="preserve"> </w:t>
            </w:r>
            <w:r w:rsidR="009D4BC8">
              <w:rPr>
                <w:rFonts w:cs="Arial"/>
                <w:szCs w:val="24"/>
              </w:rPr>
              <w:t xml:space="preserve">note </w:t>
            </w:r>
            <w:r w:rsidRPr="009D4BC8">
              <w:rPr>
                <w:rFonts w:cs="Arial"/>
                <w:szCs w:val="24"/>
              </w:rPr>
              <w:t xml:space="preserve"> the </w:t>
            </w:r>
            <w:r w:rsidR="00B57442" w:rsidRPr="009D4BC8">
              <w:rPr>
                <w:rFonts w:cs="Arial"/>
                <w:szCs w:val="24"/>
              </w:rPr>
              <w:t xml:space="preserve">new </w:t>
            </w:r>
            <w:r w:rsidRPr="009D4BC8">
              <w:rPr>
                <w:rFonts w:cs="Arial"/>
                <w:szCs w:val="24"/>
              </w:rPr>
              <w:t>draft capital pro</w:t>
            </w:r>
            <w:r w:rsidR="00B57442" w:rsidRPr="009D4BC8">
              <w:rPr>
                <w:rFonts w:cs="Arial"/>
                <w:szCs w:val="24"/>
              </w:rPr>
              <w:t>posals</w:t>
            </w:r>
            <w:r w:rsidRPr="009D4BC8">
              <w:rPr>
                <w:rFonts w:cs="Arial"/>
                <w:szCs w:val="24"/>
              </w:rPr>
              <w:t xml:space="preserve">, as detailed within Appendix </w:t>
            </w:r>
            <w:r w:rsidR="00B57442" w:rsidRPr="009D4BC8">
              <w:rPr>
                <w:rFonts w:cs="Arial"/>
                <w:szCs w:val="24"/>
              </w:rPr>
              <w:t>1</w:t>
            </w:r>
            <w:r w:rsidR="009D4BC8">
              <w:rPr>
                <w:rFonts w:cs="Arial"/>
                <w:szCs w:val="24"/>
              </w:rPr>
              <w:t xml:space="preserve"> which will be brought  back to Cabinet in February for approval</w:t>
            </w:r>
            <w:r w:rsidRPr="009D4BC8">
              <w:rPr>
                <w:rFonts w:cs="Arial"/>
                <w:szCs w:val="24"/>
              </w:rPr>
              <w:t xml:space="preserve">, </w:t>
            </w:r>
          </w:p>
          <w:p w:rsidR="009D4BC8" w:rsidRDefault="009D4BC8" w:rsidP="00C64714">
            <w:pPr>
              <w:pStyle w:val="ListParagraph"/>
              <w:numPr>
                <w:ilvl w:val="0"/>
                <w:numId w:val="38"/>
              </w:numPr>
              <w:rPr>
                <w:rFonts w:cs="Arial"/>
                <w:szCs w:val="24"/>
              </w:rPr>
            </w:pPr>
            <w:r>
              <w:rPr>
                <w:rFonts w:cs="Arial"/>
                <w:szCs w:val="24"/>
              </w:rPr>
              <w:t>Cabinet is asked to approve</w:t>
            </w:r>
            <w:r w:rsidR="00B57442" w:rsidRPr="009D4BC8">
              <w:rPr>
                <w:rFonts w:cs="Arial"/>
                <w:szCs w:val="24"/>
              </w:rPr>
              <w:t xml:space="preserve"> the </w:t>
            </w:r>
            <w:r>
              <w:rPr>
                <w:rFonts w:cs="Arial"/>
                <w:szCs w:val="24"/>
              </w:rPr>
              <w:t>amendments to  the</w:t>
            </w:r>
            <w:r w:rsidR="00B57442" w:rsidRPr="009D4BC8">
              <w:rPr>
                <w:rFonts w:cs="Arial"/>
                <w:szCs w:val="24"/>
              </w:rPr>
              <w:t xml:space="preserve"> </w:t>
            </w:r>
            <w:r w:rsidR="005867D6" w:rsidRPr="009D4BC8">
              <w:rPr>
                <w:rFonts w:cs="Arial"/>
                <w:szCs w:val="24"/>
              </w:rPr>
              <w:t>budgets set out in Appendix 2</w:t>
            </w:r>
            <w:r w:rsidR="00105B2C" w:rsidRPr="009D4BC8">
              <w:rPr>
                <w:rFonts w:cs="Arial"/>
                <w:szCs w:val="24"/>
              </w:rPr>
              <w:t xml:space="preserve">. </w:t>
            </w:r>
          </w:p>
          <w:p w:rsidR="009D4BC8" w:rsidRDefault="009D4BC8" w:rsidP="00C64714">
            <w:pPr>
              <w:pStyle w:val="ListParagraph"/>
              <w:rPr>
                <w:rFonts w:cs="Arial"/>
                <w:szCs w:val="24"/>
              </w:rPr>
            </w:pPr>
          </w:p>
          <w:p w:rsidR="00105B2C" w:rsidRPr="009D4BC8" w:rsidRDefault="00105B2C" w:rsidP="00C64714">
            <w:pPr>
              <w:pStyle w:val="ListParagraph"/>
              <w:rPr>
                <w:rFonts w:cs="Arial"/>
                <w:szCs w:val="24"/>
              </w:rPr>
            </w:pPr>
            <w:r w:rsidRPr="009D4BC8">
              <w:rPr>
                <w:rFonts w:cs="Arial"/>
                <w:szCs w:val="24"/>
              </w:rPr>
              <w:t xml:space="preserve">The final version </w:t>
            </w:r>
            <w:r w:rsidR="009D4BC8">
              <w:rPr>
                <w:rFonts w:cs="Arial"/>
                <w:szCs w:val="24"/>
              </w:rPr>
              <w:t xml:space="preserve">of the Capital Programme 2017/18 to 2019/20 </w:t>
            </w:r>
            <w:r w:rsidRPr="009D4BC8">
              <w:rPr>
                <w:rFonts w:cs="Arial"/>
                <w:szCs w:val="24"/>
              </w:rPr>
              <w:t xml:space="preserve">will be brought back to Cabinet in February </w:t>
            </w:r>
            <w:r w:rsidR="005867D6" w:rsidRPr="009D4BC8">
              <w:rPr>
                <w:rFonts w:cs="Arial"/>
                <w:szCs w:val="24"/>
              </w:rPr>
              <w:t xml:space="preserve"> </w:t>
            </w:r>
            <w:r w:rsidR="007F4BDA" w:rsidRPr="009D4BC8">
              <w:rPr>
                <w:rFonts w:cs="Arial"/>
                <w:szCs w:val="24"/>
              </w:rPr>
              <w:t xml:space="preserve">for recommendation to </w:t>
            </w:r>
            <w:r w:rsidR="005A0FFD" w:rsidRPr="009D4BC8">
              <w:rPr>
                <w:rFonts w:cs="Arial"/>
                <w:szCs w:val="24"/>
              </w:rPr>
              <w:t>Council in February.</w:t>
            </w:r>
          </w:p>
          <w:p w:rsidR="006D68FB" w:rsidRPr="00830C10" w:rsidRDefault="006D68FB" w:rsidP="00105B2C"/>
          <w:p w:rsidR="00105B2C" w:rsidRPr="00830C10" w:rsidRDefault="00105B2C" w:rsidP="00105B2C">
            <w:pPr>
              <w:pStyle w:val="Heading2"/>
              <w:rPr>
                <w:color w:val="FF0000"/>
              </w:rPr>
            </w:pPr>
            <w:r w:rsidRPr="00830C10">
              <w:t xml:space="preserve">Reason:  </w:t>
            </w:r>
            <w:r w:rsidRPr="00830C10">
              <w:rPr>
                <w:b w:val="0"/>
                <w:sz w:val="24"/>
                <w:szCs w:val="24"/>
              </w:rPr>
              <w:t>To enable the Council to have an approved capital programme for 20</w:t>
            </w:r>
            <w:r>
              <w:rPr>
                <w:b w:val="0"/>
                <w:sz w:val="24"/>
                <w:szCs w:val="24"/>
              </w:rPr>
              <w:t>1</w:t>
            </w:r>
            <w:r w:rsidR="002478C4">
              <w:rPr>
                <w:b w:val="0"/>
                <w:sz w:val="24"/>
                <w:szCs w:val="24"/>
              </w:rPr>
              <w:t>7</w:t>
            </w:r>
            <w:r w:rsidR="00B4220B">
              <w:rPr>
                <w:b w:val="0"/>
                <w:sz w:val="24"/>
                <w:szCs w:val="24"/>
              </w:rPr>
              <w:t>/18</w:t>
            </w:r>
            <w:r w:rsidRPr="00830C10">
              <w:rPr>
                <w:b w:val="0"/>
                <w:sz w:val="24"/>
                <w:szCs w:val="24"/>
              </w:rPr>
              <w:t xml:space="preserve"> </w:t>
            </w:r>
            <w:r>
              <w:rPr>
                <w:b w:val="0"/>
                <w:sz w:val="24"/>
                <w:szCs w:val="24"/>
              </w:rPr>
              <w:t>to 201</w:t>
            </w:r>
            <w:r w:rsidR="002478C4">
              <w:rPr>
                <w:b w:val="0"/>
                <w:sz w:val="24"/>
                <w:szCs w:val="24"/>
              </w:rPr>
              <w:t>9</w:t>
            </w:r>
            <w:r>
              <w:rPr>
                <w:b w:val="0"/>
                <w:sz w:val="24"/>
                <w:szCs w:val="24"/>
              </w:rPr>
              <w:t>/</w:t>
            </w:r>
            <w:r w:rsidR="002478C4">
              <w:rPr>
                <w:b w:val="0"/>
                <w:sz w:val="24"/>
                <w:szCs w:val="24"/>
              </w:rPr>
              <w:t>20</w:t>
            </w:r>
            <w:r>
              <w:rPr>
                <w:b w:val="0"/>
                <w:sz w:val="24"/>
                <w:szCs w:val="24"/>
              </w:rPr>
              <w:t xml:space="preserve"> and</w:t>
            </w:r>
            <w:r w:rsidRPr="00830C10">
              <w:rPr>
                <w:b w:val="0"/>
                <w:sz w:val="24"/>
                <w:szCs w:val="24"/>
              </w:rPr>
              <w:t xml:space="preserve"> to enable preparation work to be undertaken</w:t>
            </w:r>
            <w:r>
              <w:rPr>
                <w:b w:val="0"/>
                <w:sz w:val="24"/>
                <w:szCs w:val="24"/>
              </w:rPr>
              <w:t xml:space="preserve"> for future years</w:t>
            </w:r>
            <w:r w:rsidRPr="00830C10">
              <w:rPr>
                <w:b w:val="0"/>
                <w:sz w:val="24"/>
                <w:szCs w:val="24"/>
              </w:rPr>
              <w:t>.</w:t>
            </w:r>
          </w:p>
          <w:p w:rsidR="00333FAA" w:rsidRDefault="00333FAA" w:rsidP="00A53B04"/>
          <w:p w:rsidR="00333FAA" w:rsidRDefault="00333FAA" w:rsidP="00A53B04">
            <w:pPr>
              <w:jc w:val="both"/>
              <w:rPr>
                <w:rFonts w:cs="Arial"/>
              </w:rPr>
            </w:pPr>
          </w:p>
        </w:tc>
      </w:tr>
    </w:tbl>
    <w:p w:rsidR="00333FAA" w:rsidRDefault="00333FAA" w:rsidP="00333FAA">
      <w:pPr>
        <w:pStyle w:val="Heading1"/>
        <w:rPr>
          <w:rFonts w:ascii="Arial" w:hAnsi="Arial"/>
          <w:sz w:val="24"/>
          <w:szCs w:val="24"/>
        </w:rPr>
      </w:pPr>
    </w:p>
    <w:p w:rsidR="0036201C" w:rsidRPr="0036201C" w:rsidRDefault="0036201C" w:rsidP="0036201C"/>
    <w:p w:rsidR="00333FAA" w:rsidRDefault="00333FAA" w:rsidP="00333FAA">
      <w:pPr>
        <w:pStyle w:val="Heading1"/>
      </w:pPr>
      <w:r>
        <w:t>Section 2 – Report</w:t>
      </w:r>
    </w:p>
    <w:p w:rsidR="005867D6" w:rsidRDefault="005867D6" w:rsidP="00105B2C">
      <w:pPr>
        <w:jc w:val="both"/>
        <w:rPr>
          <w:rFonts w:cs="Arial"/>
          <w:szCs w:val="24"/>
          <w:u w:val="single"/>
        </w:rPr>
      </w:pPr>
    </w:p>
    <w:p w:rsidR="00105B2C" w:rsidRPr="000C14C9" w:rsidRDefault="00105B2C" w:rsidP="005867D6">
      <w:pPr>
        <w:ind w:firstLine="567"/>
        <w:jc w:val="both"/>
        <w:rPr>
          <w:rFonts w:cs="Arial"/>
          <w:b/>
          <w:szCs w:val="24"/>
        </w:rPr>
      </w:pPr>
      <w:r w:rsidRPr="000C14C9">
        <w:rPr>
          <w:rFonts w:cs="Arial"/>
          <w:b/>
          <w:szCs w:val="24"/>
        </w:rPr>
        <w:t>Development of the Capital Programme</w:t>
      </w:r>
    </w:p>
    <w:p w:rsidR="0008612D" w:rsidRPr="00B14937" w:rsidRDefault="0008612D" w:rsidP="00FF590B">
      <w:pPr>
        <w:numPr>
          <w:ilvl w:val="0"/>
          <w:numId w:val="27"/>
        </w:numPr>
        <w:tabs>
          <w:tab w:val="clear" w:pos="360"/>
          <w:tab w:val="num" w:pos="1276"/>
        </w:tabs>
        <w:spacing w:after="120"/>
        <w:ind w:left="567" w:hanging="567"/>
        <w:jc w:val="both"/>
        <w:rPr>
          <w:rFonts w:cs="Arial"/>
          <w:szCs w:val="24"/>
        </w:rPr>
      </w:pPr>
      <w:r w:rsidRPr="00B14937">
        <w:rPr>
          <w:rFonts w:cs="Arial"/>
          <w:szCs w:val="24"/>
        </w:rPr>
        <w:t xml:space="preserve">The purpose of this draft Capital </w:t>
      </w:r>
      <w:r w:rsidR="007F4BDA" w:rsidRPr="00B14937">
        <w:rPr>
          <w:rFonts w:cs="Arial"/>
          <w:szCs w:val="24"/>
        </w:rPr>
        <w:t>P</w:t>
      </w:r>
      <w:r w:rsidRPr="00B14937">
        <w:rPr>
          <w:rFonts w:cs="Arial"/>
          <w:szCs w:val="24"/>
        </w:rPr>
        <w:t xml:space="preserve">rogramme report is to set out </w:t>
      </w:r>
      <w:r w:rsidR="00105B2C" w:rsidRPr="00B14937">
        <w:rPr>
          <w:rFonts w:cs="Arial"/>
          <w:szCs w:val="24"/>
        </w:rPr>
        <w:t xml:space="preserve">the </w:t>
      </w:r>
      <w:r w:rsidRPr="00B14937">
        <w:rPr>
          <w:rFonts w:cs="Arial"/>
          <w:szCs w:val="24"/>
        </w:rPr>
        <w:t xml:space="preserve">Council’s </w:t>
      </w:r>
      <w:r w:rsidR="009D4BC8">
        <w:rPr>
          <w:rFonts w:cs="Arial"/>
          <w:szCs w:val="24"/>
        </w:rPr>
        <w:t xml:space="preserve">draft </w:t>
      </w:r>
      <w:r w:rsidR="007F4BDA" w:rsidRPr="00B14937">
        <w:rPr>
          <w:rFonts w:cs="Arial"/>
          <w:szCs w:val="24"/>
        </w:rPr>
        <w:t>a</w:t>
      </w:r>
      <w:r w:rsidRPr="00B14937">
        <w:rPr>
          <w:rFonts w:cs="Arial"/>
          <w:szCs w:val="24"/>
        </w:rPr>
        <w:t xml:space="preserve">dditional </w:t>
      </w:r>
      <w:r w:rsidR="007F4BDA" w:rsidRPr="00B14937">
        <w:rPr>
          <w:rFonts w:cs="Arial"/>
          <w:szCs w:val="24"/>
        </w:rPr>
        <w:t>c</w:t>
      </w:r>
      <w:r w:rsidRPr="00B14937">
        <w:rPr>
          <w:rFonts w:cs="Arial"/>
          <w:szCs w:val="24"/>
        </w:rPr>
        <w:t xml:space="preserve">apital </w:t>
      </w:r>
      <w:r w:rsidR="00105B2C" w:rsidRPr="00B14937">
        <w:rPr>
          <w:rFonts w:cs="Arial"/>
          <w:szCs w:val="24"/>
        </w:rPr>
        <w:t xml:space="preserve">proposals for investment over the next </w:t>
      </w:r>
      <w:r w:rsidR="00B4220B" w:rsidRPr="00B14937">
        <w:rPr>
          <w:rFonts w:cs="Arial"/>
          <w:szCs w:val="24"/>
        </w:rPr>
        <w:t>three</w:t>
      </w:r>
      <w:r w:rsidR="00105B2C" w:rsidRPr="00B14937">
        <w:rPr>
          <w:rFonts w:cs="Arial"/>
          <w:szCs w:val="24"/>
        </w:rPr>
        <w:t xml:space="preserve"> years</w:t>
      </w:r>
      <w:r w:rsidR="00DE6A36" w:rsidRPr="00B14937">
        <w:rPr>
          <w:rFonts w:cs="Arial"/>
          <w:szCs w:val="24"/>
        </w:rPr>
        <w:t xml:space="preserve"> 2017/18 to 2019/20</w:t>
      </w:r>
      <w:r w:rsidRPr="00B14937">
        <w:rPr>
          <w:rFonts w:cs="Arial"/>
          <w:szCs w:val="24"/>
        </w:rPr>
        <w:t xml:space="preserve"> which have been proposed as part of the Annual budget setting process</w:t>
      </w:r>
      <w:r w:rsidR="00105B2C" w:rsidRPr="00B14937">
        <w:rPr>
          <w:rFonts w:cs="Arial"/>
          <w:szCs w:val="24"/>
        </w:rPr>
        <w:t xml:space="preserve">.  </w:t>
      </w:r>
      <w:r w:rsidRPr="00B14937">
        <w:rPr>
          <w:rFonts w:cs="Arial"/>
          <w:szCs w:val="24"/>
        </w:rPr>
        <w:t xml:space="preserve">It also sets out </w:t>
      </w:r>
      <w:r w:rsidR="007F4BDA" w:rsidRPr="00B14937">
        <w:rPr>
          <w:rFonts w:cs="Arial"/>
          <w:szCs w:val="24"/>
        </w:rPr>
        <w:t xml:space="preserve">the </w:t>
      </w:r>
      <w:r w:rsidRPr="00B14937">
        <w:rPr>
          <w:rFonts w:cs="Arial"/>
          <w:szCs w:val="24"/>
        </w:rPr>
        <w:t xml:space="preserve">existing Capital </w:t>
      </w:r>
      <w:r w:rsidR="007F4BDA" w:rsidRPr="00B14937">
        <w:rPr>
          <w:rFonts w:cs="Arial"/>
          <w:szCs w:val="24"/>
        </w:rPr>
        <w:t>P</w:t>
      </w:r>
      <w:r w:rsidRPr="00B14937">
        <w:rPr>
          <w:rFonts w:cs="Arial"/>
          <w:szCs w:val="24"/>
        </w:rPr>
        <w:t xml:space="preserve">rogramme budgets which need to be re-profiled between </w:t>
      </w:r>
      <w:r w:rsidR="009D4BC8">
        <w:rPr>
          <w:rFonts w:cs="Arial"/>
          <w:szCs w:val="24"/>
        </w:rPr>
        <w:t xml:space="preserve">years and </w:t>
      </w:r>
      <w:r w:rsidR="00A82C85">
        <w:rPr>
          <w:rFonts w:cs="Arial"/>
          <w:szCs w:val="24"/>
        </w:rPr>
        <w:t xml:space="preserve">between projects between </w:t>
      </w:r>
      <w:r w:rsidRPr="00B14937">
        <w:rPr>
          <w:rFonts w:cs="Arial"/>
          <w:szCs w:val="24"/>
        </w:rPr>
        <w:t>2016/17 to 2019/20 in order to reflect revised expenditure plans.</w:t>
      </w:r>
    </w:p>
    <w:p w:rsidR="005B32A5" w:rsidRDefault="0008612D" w:rsidP="00FF590B">
      <w:pPr>
        <w:numPr>
          <w:ilvl w:val="0"/>
          <w:numId w:val="27"/>
        </w:numPr>
        <w:tabs>
          <w:tab w:val="clear" w:pos="360"/>
          <w:tab w:val="num" w:pos="1276"/>
        </w:tabs>
        <w:spacing w:after="120"/>
        <w:ind w:left="567" w:hanging="567"/>
        <w:jc w:val="both"/>
        <w:rPr>
          <w:rFonts w:cs="Arial"/>
          <w:szCs w:val="24"/>
        </w:rPr>
      </w:pPr>
      <w:r w:rsidRPr="00B14937">
        <w:rPr>
          <w:rFonts w:cs="Arial"/>
          <w:szCs w:val="24"/>
        </w:rPr>
        <w:t xml:space="preserve">The final Capital programme report </w:t>
      </w:r>
      <w:r w:rsidR="00B57442" w:rsidRPr="00B14937">
        <w:rPr>
          <w:rFonts w:cs="Arial"/>
          <w:szCs w:val="24"/>
        </w:rPr>
        <w:t xml:space="preserve">which will be presented </w:t>
      </w:r>
      <w:r w:rsidRPr="00B14937">
        <w:rPr>
          <w:rFonts w:cs="Arial"/>
          <w:szCs w:val="24"/>
        </w:rPr>
        <w:t xml:space="preserve">to Cabinet in February </w:t>
      </w:r>
      <w:r w:rsidR="00B57442" w:rsidRPr="00B14937">
        <w:rPr>
          <w:rFonts w:cs="Arial"/>
          <w:szCs w:val="24"/>
        </w:rPr>
        <w:t>201</w:t>
      </w:r>
      <w:r w:rsidR="007F4BDA" w:rsidRPr="00B14937">
        <w:rPr>
          <w:rFonts w:cs="Arial"/>
          <w:szCs w:val="24"/>
        </w:rPr>
        <w:t>7</w:t>
      </w:r>
      <w:r w:rsidR="00B57442" w:rsidRPr="00B14937">
        <w:rPr>
          <w:rFonts w:cs="Arial"/>
          <w:szCs w:val="24"/>
        </w:rPr>
        <w:t xml:space="preserve"> </w:t>
      </w:r>
      <w:r w:rsidRPr="00B14937">
        <w:rPr>
          <w:rFonts w:cs="Arial"/>
          <w:szCs w:val="24"/>
        </w:rPr>
        <w:t xml:space="preserve">will show </w:t>
      </w:r>
      <w:r w:rsidR="00B57442" w:rsidRPr="00B14937">
        <w:rPr>
          <w:rFonts w:cs="Arial"/>
          <w:szCs w:val="24"/>
        </w:rPr>
        <w:t xml:space="preserve">the </w:t>
      </w:r>
      <w:r w:rsidRPr="00B14937">
        <w:rPr>
          <w:rFonts w:cs="Arial"/>
          <w:szCs w:val="24"/>
        </w:rPr>
        <w:t xml:space="preserve">total </w:t>
      </w:r>
      <w:r w:rsidR="007F4BDA" w:rsidRPr="00B14937">
        <w:rPr>
          <w:rFonts w:cs="Arial"/>
          <w:szCs w:val="24"/>
        </w:rPr>
        <w:t>C</w:t>
      </w:r>
      <w:r w:rsidRPr="00B14937">
        <w:rPr>
          <w:rFonts w:cs="Arial"/>
          <w:szCs w:val="24"/>
        </w:rPr>
        <w:t xml:space="preserve">apital </w:t>
      </w:r>
      <w:r w:rsidR="007F4BDA" w:rsidRPr="00B14937">
        <w:rPr>
          <w:rFonts w:cs="Arial"/>
          <w:szCs w:val="24"/>
        </w:rPr>
        <w:t>P</w:t>
      </w:r>
      <w:r w:rsidRPr="00B14937">
        <w:rPr>
          <w:rFonts w:cs="Arial"/>
          <w:szCs w:val="24"/>
        </w:rPr>
        <w:t xml:space="preserve">rogramme </w:t>
      </w:r>
      <w:r w:rsidR="00B57442" w:rsidRPr="00B14937">
        <w:rPr>
          <w:rFonts w:cs="Arial"/>
          <w:szCs w:val="24"/>
        </w:rPr>
        <w:t xml:space="preserve">for 2017/18 to 2019/20 incorporating the new capital proposals as well as </w:t>
      </w:r>
      <w:r w:rsidR="007F4BDA" w:rsidRPr="00B14937">
        <w:rPr>
          <w:rFonts w:cs="Arial"/>
          <w:szCs w:val="24"/>
        </w:rPr>
        <w:t xml:space="preserve">the </w:t>
      </w:r>
      <w:proofErr w:type="spellStart"/>
      <w:r w:rsidR="00B57442" w:rsidRPr="00B14937">
        <w:rPr>
          <w:rFonts w:cs="Arial"/>
          <w:szCs w:val="24"/>
        </w:rPr>
        <w:t>reprofiling</w:t>
      </w:r>
      <w:proofErr w:type="spellEnd"/>
      <w:r w:rsidR="00B57442" w:rsidRPr="00B14937">
        <w:rPr>
          <w:rFonts w:cs="Arial"/>
          <w:szCs w:val="24"/>
        </w:rPr>
        <w:t xml:space="preserve"> of existing capital budgets set out in this report.</w:t>
      </w:r>
    </w:p>
    <w:p w:rsidR="00C64714" w:rsidRPr="00B14937" w:rsidRDefault="00C64714" w:rsidP="00C64714">
      <w:pPr>
        <w:spacing w:after="120"/>
        <w:ind w:left="567"/>
        <w:jc w:val="both"/>
        <w:rPr>
          <w:rFonts w:cs="Arial"/>
          <w:szCs w:val="24"/>
        </w:rPr>
      </w:pPr>
      <w:bookmarkStart w:id="0" w:name="_GoBack"/>
      <w:bookmarkEnd w:id="0"/>
    </w:p>
    <w:p w:rsidR="00B57442" w:rsidRPr="000C14C9" w:rsidRDefault="00B57442" w:rsidP="00B57442">
      <w:pPr>
        <w:spacing w:after="120"/>
        <w:ind w:left="567"/>
        <w:jc w:val="both"/>
        <w:rPr>
          <w:rFonts w:cs="Arial"/>
          <w:b/>
          <w:szCs w:val="24"/>
        </w:rPr>
      </w:pPr>
      <w:r>
        <w:rPr>
          <w:rFonts w:cs="Arial"/>
          <w:szCs w:val="24"/>
        </w:rPr>
        <w:t xml:space="preserve"> </w:t>
      </w:r>
      <w:r w:rsidR="005867D6" w:rsidRPr="000C14C9">
        <w:rPr>
          <w:rFonts w:cs="Arial"/>
          <w:b/>
          <w:szCs w:val="24"/>
        </w:rPr>
        <w:t>New Capital proposals 2017/18 to 2019/20</w:t>
      </w:r>
    </w:p>
    <w:p w:rsidR="005867D6" w:rsidRDefault="005867D6" w:rsidP="005867D6">
      <w:pPr>
        <w:numPr>
          <w:ilvl w:val="0"/>
          <w:numId w:val="27"/>
        </w:numPr>
        <w:tabs>
          <w:tab w:val="clear" w:pos="360"/>
          <w:tab w:val="num" w:pos="1276"/>
        </w:tabs>
        <w:spacing w:after="120"/>
        <w:ind w:left="567" w:hanging="567"/>
        <w:jc w:val="both"/>
        <w:rPr>
          <w:rFonts w:cs="Arial"/>
          <w:szCs w:val="24"/>
        </w:rPr>
      </w:pPr>
      <w:r w:rsidRPr="005867D6">
        <w:rPr>
          <w:rFonts w:cs="Arial"/>
          <w:szCs w:val="24"/>
        </w:rPr>
        <w:t>The new capital proposals have been prepared in the current climate of increased demand pressures and reduced external funding from Central Government.</w:t>
      </w:r>
    </w:p>
    <w:p w:rsidR="00105B2C" w:rsidRDefault="00105B2C" w:rsidP="00105B2C">
      <w:pPr>
        <w:numPr>
          <w:ilvl w:val="0"/>
          <w:numId w:val="27"/>
        </w:numPr>
        <w:tabs>
          <w:tab w:val="clear" w:pos="360"/>
          <w:tab w:val="num" w:pos="567"/>
          <w:tab w:val="num" w:pos="1985"/>
        </w:tabs>
        <w:ind w:left="567" w:hanging="567"/>
        <w:jc w:val="both"/>
        <w:rPr>
          <w:rFonts w:cs="Arial"/>
          <w:szCs w:val="24"/>
        </w:rPr>
      </w:pPr>
      <w:r w:rsidRPr="00DE6A36">
        <w:rPr>
          <w:rFonts w:cs="Arial"/>
          <w:szCs w:val="24"/>
        </w:rPr>
        <w:lastRenderedPageBreak/>
        <w:t>Service directorates were invited to bid for capital resources, as part of their service proposals for 201</w:t>
      </w:r>
      <w:r w:rsidR="008916DC" w:rsidRPr="00DE6A36">
        <w:rPr>
          <w:rFonts w:cs="Arial"/>
          <w:szCs w:val="24"/>
        </w:rPr>
        <w:t>7</w:t>
      </w:r>
      <w:r w:rsidR="00D90A37" w:rsidRPr="00DE6A36">
        <w:rPr>
          <w:rFonts w:cs="Arial"/>
          <w:szCs w:val="24"/>
        </w:rPr>
        <w:t>/18</w:t>
      </w:r>
      <w:r w:rsidR="008916DC" w:rsidRPr="00DE6A36">
        <w:rPr>
          <w:rFonts w:cs="Arial"/>
          <w:szCs w:val="24"/>
        </w:rPr>
        <w:t xml:space="preserve"> to 2019</w:t>
      </w:r>
      <w:r w:rsidRPr="00DE6A36">
        <w:rPr>
          <w:rFonts w:cs="Arial"/>
          <w:szCs w:val="24"/>
        </w:rPr>
        <w:t>/</w:t>
      </w:r>
      <w:r w:rsidR="008916DC" w:rsidRPr="00DE6A36">
        <w:rPr>
          <w:rFonts w:cs="Arial"/>
          <w:szCs w:val="24"/>
        </w:rPr>
        <w:t>20</w:t>
      </w:r>
      <w:r w:rsidRPr="00DE6A36">
        <w:rPr>
          <w:rFonts w:cs="Arial"/>
          <w:szCs w:val="24"/>
        </w:rPr>
        <w:t xml:space="preserve">.  The proposals were </w:t>
      </w:r>
      <w:r w:rsidR="00D90A37" w:rsidRPr="00DE6A36">
        <w:rPr>
          <w:rFonts w:cs="Arial"/>
          <w:szCs w:val="24"/>
        </w:rPr>
        <w:t>review</w:t>
      </w:r>
      <w:r w:rsidR="00DE6A36" w:rsidRPr="00DE6A36">
        <w:rPr>
          <w:rFonts w:cs="Arial"/>
          <w:szCs w:val="24"/>
        </w:rPr>
        <w:t>ed</w:t>
      </w:r>
      <w:r w:rsidRPr="00DE6A36">
        <w:rPr>
          <w:rFonts w:cs="Arial"/>
          <w:szCs w:val="24"/>
        </w:rPr>
        <w:t xml:space="preserve"> tak</w:t>
      </w:r>
      <w:r w:rsidR="00D90A37" w:rsidRPr="00DE6A36">
        <w:rPr>
          <w:rFonts w:cs="Arial"/>
          <w:szCs w:val="24"/>
        </w:rPr>
        <w:t>ing into</w:t>
      </w:r>
      <w:r w:rsidRPr="00DE6A36">
        <w:rPr>
          <w:rFonts w:cs="Arial"/>
          <w:szCs w:val="24"/>
        </w:rPr>
        <w:t xml:space="preserve"> account</w:t>
      </w:r>
      <w:r w:rsidR="00E21E6B" w:rsidRPr="00DE6A36">
        <w:rPr>
          <w:rFonts w:cs="Arial"/>
          <w:szCs w:val="24"/>
        </w:rPr>
        <w:t xml:space="preserve"> </w:t>
      </w:r>
      <w:r w:rsidR="00DE6A36" w:rsidRPr="00DE6A36">
        <w:rPr>
          <w:rFonts w:cs="Arial"/>
          <w:szCs w:val="24"/>
        </w:rPr>
        <w:t xml:space="preserve">the </w:t>
      </w:r>
      <w:r w:rsidR="0017619C" w:rsidRPr="00DE6A36">
        <w:rPr>
          <w:rFonts w:cs="Arial"/>
          <w:szCs w:val="24"/>
        </w:rPr>
        <w:t>council</w:t>
      </w:r>
      <w:r w:rsidR="00DE6A36" w:rsidRPr="00DE6A36">
        <w:rPr>
          <w:rFonts w:cs="Arial"/>
          <w:szCs w:val="24"/>
        </w:rPr>
        <w:t>’s</w:t>
      </w:r>
      <w:r w:rsidR="00E21E6B" w:rsidRPr="00DE6A36">
        <w:rPr>
          <w:rFonts w:cs="Arial"/>
          <w:szCs w:val="24"/>
        </w:rPr>
        <w:t xml:space="preserve"> strategic vision </w:t>
      </w:r>
      <w:r w:rsidR="00E21E6B" w:rsidRPr="007C49E5">
        <w:rPr>
          <w:rFonts w:cs="Arial"/>
          <w:szCs w:val="24"/>
        </w:rPr>
        <w:t>of “Working together to make a difference for Harrow”</w:t>
      </w:r>
      <w:r w:rsidR="00DE6A36" w:rsidRPr="007C49E5">
        <w:rPr>
          <w:rFonts w:cs="Arial"/>
          <w:szCs w:val="24"/>
        </w:rPr>
        <w:t xml:space="preserve">, the </w:t>
      </w:r>
      <w:r w:rsidRPr="00DE6A36">
        <w:rPr>
          <w:rFonts w:cs="Arial"/>
          <w:szCs w:val="24"/>
        </w:rPr>
        <w:t xml:space="preserve"> </w:t>
      </w:r>
      <w:r w:rsidR="00E21E6B" w:rsidRPr="00DE6A36">
        <w:rPr>
          <w:rFonts w:cs="Arial"/>
          <w:szCs w:val="24"/>
        </w:rPr>
        <w:t>C</w:t>
      </w:r>
      <w:r w:rsidR="0017619C" w:rsidRPr="00DE6A36">
        <w:rPr>
          <w:rFonts w:cs="Arial"/>
          <w:szCs w:val="24"/>
        </w:rPr>
        <w:t>ou</w:t>
      </w:r>
      <w:r w:rsidRPr="00DE6A36">
        <w:rPr>
          <w:rFonts w:cs="Arial"/>
          <w:szCs w:val="24"/>
        </w:rPr>
        <w:t>ncil</w:t>
      </w:r>
      <w:r w:rsidR="00DE6A36" w:rsidRPr="00DE6A36">
        <w:rPr>
          <w:rFonts w:cs="Arial"/>
          <w:szCs w:val="24"/>
        </w:rPr>
        <w:t>’s</w:t>
      </w:r>
      <w:r w:rsidRPr="00DE6A36">
        <w:rPr>
          <w:rFonts w:cs="Arial"/>
          <w:szCs w:val="24"/>
        </w:rPr>
        <w:t xml:space="preserve"> </w:t>
      </w:r>
      <w:r w:rsidR="00DE6A36" w:rsidRPr="00DE6A36">
        <w:rPr>
          <w:rFonts w:cs="Arial"/>
          <w:szCs w:val="24"/>
        </w:rPr>
        <w:t>p</w:t>
      </w:r>
      <w:r w:rsidRPr="00DE6A36">
        <w:rPr>
          <w:rFonts w:cs="Arial"/>
          <w:szCs w:val="24"/>
        </w:rPr>
        <w:t>riorities and equalities or other statutory duties</w:t>
      </w:r>
      <w:r w:rsidR="00DE6A36" w:rsidRPr="00DE6A36">
        <w:rPr>
          <w:rFonts w:cs="Arial"/>
          <w:szCs w:val="24"/>
        </w:rPr>
        <w:t>.</w:t>
      </w:r>
      <w:r w:rsidRPr="00DE6A36">
        <w:rPr>
          <w:rFonts w:cs="Arial"/>
          <w:szCs w:val="24"/>
        </w:rPr>
        <w:t xml:space="preserve"> </w:t>
      </w:r>
    </w:p>
    <w:p w:rsidR="00DE6A36" w:rsidRPr="00DE6A36" w:rsidRDefault="00DE6A36" w:rsidP="00DE6A36">
      <w:pPr>
        <w:tabs>
          <w:tab w:val="num" w:pos="1985"/>
        </w:tabs>
        <w:ind w:left="567"/>
        <w:jc w:val="both"/>
        <w:rPr>
          <w:rFonts w:cs="Arial"/>
          <w:szCs w:val="24"/>
        </w:rPr>
      </w:pPr>
    </w:p>
    <w:p w:rsidR="00105B2C" w:rsidRPr="00105B2C" w:rsidRDefault="007F4BDA" w:rsidP="00FF590B">
      <w:pPr>
        <w:numPr>
          <w:ilvl w:val="0"/>
          <w:numId w:val="27"/>
        </w:numPr>
        <w:tabs>
          <w:tab w:val="clear" w:pos="360"/>
          <w:tab w:val="num" w:pos="567"/>
          <w:tab w:val="num" w:pos="1985"/>
        </w:tabs>
        <w:spacing w:after="120"/>
        <w:ind w:left="567" w:hanging="567"/>
        <w:jc w:val="both"/>
        <w:rPr>
          <w:rFonts w:cs="Arial"/>
          <w:szCs w:val="24"/>
        </w:rPr>
      </w:pPr>
      <w:r>
        <w:rPr>
          <w:rFonts w:cs="Arial"/>
          <w:szCs w:val="24"/>
        </w:rPr>
        <w:t>In addition to reduced external funding</w:t>
      </w:r>
      <w:r w:rsidR="008D49CA">
        <w:rPr>
          <w:rFonts w:cs="Arial"/>
          <w:szCs w:val="24"/>
        </w:rPr>
        <w:t xml:space="preserve"> from grants </w:t>
      </w:r>
      <w:proofErr w:type="spellStart"/>
      <w:r w:rsidR="008D49CA">
        <w:rPr>
          <w:rFonts w:cs="Arial"/>
          <w:szCs w:val="24"/>
        </w:rPr>
        <w:t>etc</w:t>
      </w:r>
      <w:proofErr w:type="spellEnd"/>
      <w:r w:rsidR="00105B2C" w:rsidRPr="00105B2C">
        <w:rPr>
          <w:rFonts w:cs="Arial"/>
          <w:szCs w:val="24"/>
        </w:rPr>
        <w:t>, flexibility in the capital programme is also constrained by a number of factors:</w:t>
      </w:r>
    </w:p>
    <w:p w:rsidR="00105B2C" w:rsidRPr="00105B2C" w:rsidRDefault="00105B2C" w:rsidP="00105B2C">
      <w:pPr>
        <w:numPr>
          <w:ilvl w:val="1"/>
          <w:numId w:val="27"/>
        </w:numPr>
        <w:tabs>
          <w:tab w:val="num" w:pos="2160"/>
        </w:tabs>
        <w:spacing w:after="120"/>
        <w:ind w:left="1434" w:hanging="357"/>
        <w:jc w:val="both"/>
        <w:rPr>
          <w:rFonts w:cs="Arial"/>
          <w:szCs w:val="24"/>
        </w:rPr>
      </w:pPr>
      <w:r w:rsidRPr="00105B2C">
        <w:rPr>
          <w:rFonts w:cs="Arial"/>
          <w:szCs w:val="24"/>
        </w:rPr>
        <w:t xml:space="preserve">Unavoidable spending requirements such as the need to provide school places for the increasing school </w:t>
      </w:r>
      <w:r w:rsidR="008D49CA">
        <w:rPr>
          <w:rFonts w:cs="Arial"/>
          <w:szCs w:val="24"/>
        </w:rPr>
        <w:t xml:space="preserve">age </w:t>
      </w:r>
      <w:r w:rsidRPr="00105B2C">
        <w:rPr>
          <w:rFonts w:cs="Arial"/>
          <w:szCs w:val="24"/>
        </w:rPr>
        <w:t>population and major repairs to the Council’s buildings and carriageway and footway resurfacing.</w:t>
      </w:r>
    </w:p>
    <w:p w:rsidR="00105B2C" w:rsidRPr="00105B2C" w:rsidRDefault="00105B2C" w:rsidP="00105B2C">
      <w:pPr>
        <w:numPr>
          <w:ilvl w:val="1"/>
          <w:numId w:val="27"/>
        </w:numPr>
        <w:tabs>
          <w:tab w:val="num" w:pos="2160"/>
        </w:tabs>
        <w:spacing w:after="120"/>
        <w:ind w:left="1434" w:hanging="357"/>
        <w:jc w:val="both"/>
        <w:rPr>
          <w:rFonts w:cs="Arial"/>
          <w:szCs w:val="24"/>
        </w:rPr>
      </w:pPr>
      <w:r w:rsidRPr="00105B2C">
        <w:rPr>
          <w:rFonts w:cs="Arial"/>
          <w:szCs w:val="24"/>
        </w:rPr>
        <w:t>Restrictions in the way funding can be used e.g. ring fenced funding such as Transport for London and DfE grants for schools.</w:t>
      </w:r>
    </w:p>
    <w:p w:rsidR="00105B2C" w:rsidRPr="00105B2C" w:rsidRDefault="00105B2C" w:rsidP="00105B2C">
      <w:pPr>
        <w:numPr>
          <w:ilvl w:val="1"/>
          <w:numId w:val="27"/>
        </w:numPr>
        <w:rPr>
          <w:sz w:val="28"/>
        </w:rPr>
      </w:pPr>
      <w:r w:rsidRPr="00105B2C">
        <w:rPr>
          <w:rFonts w:cs="Arial"/>
          <w:szCs w:val="24"/>
        </w:rPr>
        <w:t>A limited capacity to fund borrowing. Although there are no specific limits to borrowing in order to fund capital expenditure, since the introduction of the prudential borrowing framework, Councils must however consider the revenue implications in the context of the overall revenue budget commitments in the medium term</w:t>
      </w:r>
      <w:r w:rsidR="008D49CA">
        <w:rPr>
          <w:rFonts w:cs="Arial"/>
          <w:szCs w:val="24"/>
        </w:rPr>
        <w:t xml:space="preserve"> and the Capital Programme </w:t>
      </w:r>
      <w:r w:rsidRPr="00105B2C">
        <w:rPr>
          <w:rFonts w:cs="Arial"/>
          <w:szCs w:val="24"/>
        </w:rPr>
        <w:t xml:space="preserve">must be affordable. </w:t>
      </w:r>
      <w:r w:rsidRPr="00105B2C">
        <w:rPr>
          <w:sz w:val="28"/>
        </w:rPr>
        <w:t xml:space="preserve"> </w:t>
      </w:r>
    </w:p>
    <w:p w:rsidR="00105B2C" w:rsidRPr="00105B2C" w:rsidRDefault="00105B2C" w:rsidP="00105B2C">
      <w:pPr>
        <w:jc w:val="both"/>
      </w:pPr>
    </w:p>
    <w:p w:rsidR="00105B2C" w:rsidRDefault="00105B2C" w:rsidP="00105B2C">
      <w:pPr>
        <w:ind w:left="567"/>
        <w:jc w:val="both"/>
        <w:rPr>
          <w:rFonts w:cs="Arial"/>
          <w:szCs w:val="24"/>
        </w:rPr>
      </w:pPr>
      <w:r w:rsidRPr="00105B2C">
        <w:rPr>
          <w:rFonts w:cs="Arial"/>
          <w:szCs w:val="24"/>
        </w:rPr>
        <w:t xml:space="preserve">A list of the </w:t>
      </w:r>
      <w:r w:rsidR="00DE6A36">
        <w:rPr>
          <w:rFonts w:cs="Arial"/>
          <w:szCs w:val="24"/>
        </w:rPr>
        <w:t xml:space="preserve">new </w:t>
      </w:r>
      <w:r w:rsidRPr="00105B2C">
        <w:rPr>
          <w:rFonts w:cs="Arial"/>
          <w:szCs w:val="24"/>
        </w:rPr>
        <w:t xml:space="preserve">proposed projects </w:t>
      </w:r>
      <w:r w:rsidR="00072413">
        <w:rPr>
          <w:rFonts w:cs="Arial"/>
          <w:szCs w:val="24"/>
        </w:rPr>
        <w:t xml:space="preserve">within the programme </w:t>
      </w:r>
      <w:r w:rsidRPr="00105B2C">
        <w:rPr>
          <w:rFonts w:cs="Arial"/>
          <w:szCs w:val="24"/>
        </w:rPr>
        <w:t xml:space="preserve">is detailed in appendix </w:t>
      </w:r>
      <w:r w:rsidR="00DE6A36">
        <w:rPr>
          <w:rFonts w:cs="Arial"/>
          <w:szCs w:val="24"/>
        </w:rPr>
        <w:t xml:space="preserve">1 and </w:t>
      </w:r>
      <w:r w:rsidR="008D49CA">
        <w:rPr>
          <w:rFonts w:cs="Arial"/>
          <w:szCs w:val="24"/>
        </w:rPr>
        <w:t xml:space="preserve">summarised </w:t>
      </w:r>
      <w:r w:rsidR="00DE6A36">
        <w:rPr>
          <w:rFonts w:cs="Arial"/>
          <w:szCs w:val="24"/>
        </w:rPr>
        <w:t xml:space="preserve">in Table </w:t>
      </w:r>
      <w:r w:rsidR="008D49CA">
        <w:rPr>
          <w:rFonts w:cs="Arial"/>
          <w:szCs w:val="24"/>
        </w:rPr>
        <w:t xml:space="preserve">1 </w:t>
      </w:r>
      <w:r w:rsidR="00DE6A36">
        <w:rPr>
          <w:rFonts w:cs="Arial"/>
          <w:szCs w:val="24"/>
        </w:rPr>
        <w:t>below:</w:t>
      </w:r>
    </w:p>
    <w:p w:rsidR="00B14937" w:rsidRDefault="00B14937" w:rsidP="00105B2C">
      <w:pPr>
        <w:ind w:left="567"/>
        <w:jc w:val="both"/>
        <w:rPr>
          <w:rFonts w:cs="Arial"/>
          <w:szCs w:val="24"/>
        </w:rPr>
      </w:pPr>
    </w:p>
    <w:p w:rsidR="00B14937" w:rsidRDefault="00B14937" w:rsidP="00105B2C">
      <w:pPr>
        <w:ind w:left="567"/>
        <w:jc w:val="both"/>
        <w:rPr>
          <w:rFonts w:cs="Arial"/>
          <w:szCs w:val="24"/>
        </w:rPr>
      </w:pPr>
      <w:r>
        <w:rPr>
          <w:rFonts w:cs="Arial"/>
          <w:szCs w:val="24"/>
        </w:rPr>
        <w:t>Table 1</w:t>
      </w:r>
    </w:p>
    <w:p w:rsidR="00B14937" w:rsidRDefault="00B14937" w:rsidP="00105B2C">
      <w:pPr>
        <w:ind w:left="567"/>
        <w:jc w:val="both"/>
        <w:rPr>
          <w:rFonts w:cs="Arial"/>
          <w:szCs w:val="24"/>
        </w:rPr>
      </w:pPr>
      <w:r w:rsidRPr="00B14937">
        <w:rPr>
          <w:noProof/>
          <w:lang w:eastAsia="en-GB"/>
        </w:rPr>
        <w:drawing>
          <wp:inline distT="0" distB="0" distL="0" distR="0" wp14:anchorId="69D0EA81" wp14:editId="0EC13CD8">
            <wp:extent cx="5276215" cy="215543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215" cy="2155438"/>
                    </a:xfrm>
                    <a:prstGeom prst="rect">
                      <a:avLst/>
                    </a:prstGeom>
                    <a:noFill/>
                    <a:ln>
                      <a:noFill/>
                    </a:ln>
                  </pic:spPr>
                </pic:pic>
              </a:graphicData>
            </a:graphic>
          </wp:inline>
        </w:drawing>
      </w:r>
    </w:p>
    <w:p w:rsidR="0015448F" w:rsidRDefault="0015448F" w:rsidP="00105B2C">
      <w:pPr>
        <w:ind w:left="567"/>
        <w:jc w:val="both"/>
        <w:rPr>
          <w:rFonts w:cs="Arial"/>
          <w:szCs w:val="24"/>
        </w:rPr>
      </w:pPr>
    </w:p>
    <w:p w:rsidR="00105B2C" w:rsidRPr="005B1B67" w:rsidRDefault="005867D6" w:rsidP="00C01297">
      <w:pPr>
        <w:numPr>
          <w:ilvl w:val="0"/>
          <w:numId w:val="27"/>
        </w:numPr>
        <w:tabs>
          <w:tab w:val="clear" w:pos="360"/>
          <w:tab w:val="num" w:pos="993"/>
          <w:tab w:val="num" w:pos="1560"/>
        </w:tabs>
        <w:spacing w:after="240"/>
        <w:ind w:left="567" w:hanging="567"/>
        <w:jc w:val="both"/>
      </w:pPr>
      <w:r>
        <w:rPr>
          <w:rFonts w:cs="Arial"/>
          <w:szCs w:val="24"/>
        </w:rPr>
        <w:t>T</w:t>
      </w:r>
      <w:r w:rsidRPr="00105B2C">
        <w:rPr>
          <w:rFonts w:cs="Arial"/>
          <w:szCs w:val="24"/>
        </w:rPr>
        <w:t xml:space="preserve">hese provide for a very substantial </w:t>
      </w:r>
      <w:r w:rsidR="00693072">
        <w:rPr>
          <w:rFonts w:cs="Arial"/>
          <w:szCs w:val="24"/>
        </w:rPr>
        <w:t xml:space="preserve">net </w:t>
      </w:r>
      <w:r w:rsidRPr="00105B2C">
        <w:rPr>
          <w:rFonts w:cs="Arial"/>
          <w:szCs w:val="24"/>
        </w:rPr>
        <w:t xml:space="preserve">investment of </w:t>
      </w:r>
      <w:r w:rsidRPr="0015448F">
        <w:rPr>
          <w:rFonts w:cs="Arial"/>
          <w:szCs w:val="24"/>
        </w:rPr>
        <w:t>£</w:t>
      </w:r>
      <w:r w:rsidR="00693072">
        <w:rPr>
          <w:rFonts w:cs="Arial"/>
          <w:szCs w:val="24"/>
        </w:rPr>
        <w:t>69</w:t>
      </w:r>
      <w:r w:rsidRPr="0015448F">
        <w:rPr>
          <w:rFonts w:cs="Arial"/>
          <w:szCs w:val="24"/>
        </w:rPr>
        <w:t xml:space="preserve">m in infrastructure on </w:t>
      </w:r>
      <w:r w:rsidR="0015448F" w:rsidRPr="0015448F">
        <w:rPr>
          <w:rFonts w:cs="Arial"/>
          <w:szCs w:val="24"/>
        </w:rPr>
        <w:t xml:space="preserve">the </w:t>
      </w:r>
      <w:r w:rsidRPr="0015448F">
        <w:rPr>
          <w:rFonts w:cs="Arial"/>
          <w:szCs w:val="24"/>
        </w:rPr>
        <w:t>General Fund services over the next three years in line with the Medium Term Financial Strategy</w:t>
      </w:r>
      <w:r w:rsidR="0015448F" w:rsidRPr="0015448F">
        <w:rPr>
          <w:rFonts w:cs="Arial"/>
          <w:szCs w:val="24"/>
        </w:rPr>
        <w:t>.</w:t>
      </w:r>
      <w:r w:rsidR="0015448F">
        <w:rPr>
          <w:rFonts w:cs="Arial"/>
          <w:szCs w:val="24"/>
        </w:rPr>
        <w:t xml:space="preserve"> </w:t>
      </w:r>
      <w:r w:rsidR="00105B2C" w:rsidRPr="0015448F">
        <w:t>The gross value of the proposed General Fund programme is £</w:t>
      </w:r>
      <w:r w:rsidR="003B44AD">
        <w:t>74.190</w:t>
      </w:r>
      <w:r w:rsidR="00072413" w:rsidRPr="0015448F">
        <w:t>m</w:t>
      </w:r>
      <w:r w:rsidR="00105B2C" w:rsidRPr="0015448F">
        <w:t xml:space="preserve">, with external funding </w:t>
      </w:r>
      <w:r w:rsidR="00105B2C" w:rsidRPr="005B1B67">
        <w:t>of £</w:t>
      </w:r>
      <w:r w:rsidR="003B44AD" w:rsidRPr="005B1B67">
        <w:t>4.906</w:t>
      </w:r>
      <w:r w:rsidR="0015448F" w:rsidRPr="005B1B67">
        <w:t>m</w:t>
      </w:r>
      <w:r w:rsidR="00105B2C" w:rsidRPr="005B1B67">
        <w:t xml:space="preserve"> and a net </w:t>
      </w:r>
      <w:r w:rsidR="00E23647" w:rsidRPr="005B1B67">
        <w:t xml:space="preserve">increase in the programme of </w:t>
      </w:r>
      <w:r w:rsidR="00105B2C" w:rsidRPr="005B1B67">
        <w:t>£</w:t>
      </w:r>
      <w:r w:rsidR="0015448F" w:rsidRPr="005B1B67">
        <w:t>6</w:t>
      </w:r>
      <w:r w:rsidR="003B44AD" w:rsidRPr="005B1B67">
        <w:t>9.284</w:t>
      </w:r>
      <w:r w:rsidR="00105B2C" w:rsidRPr="005B1B67">
        <w:t xml:space="preserve">m.  </w:t>
      </w:r>
    </w:p>
    <w:p w:rsidR="00FA1D36" w:rsidRDefault="00A82C85" w:rsidP="00C01297">
      <w:pPr>
        <w:numPr>
          <w:ilvl w:val="0"/>
          <w:numId w:val="27"/>
        </w:numPr>
        <w:tabs>
          <w:tab w:val="clear" w:pos="360"/>
          <w:tab w:val="num" w:pos="993"/>
          <w:tab w:val="num" w:pos="1560"/>
        </w:tabs>
        <w:spacing w:after="240"/>
        <w:ind w:left="567" w:hanging="567"/>
        <w:jc w:val="both"/>
        <w:rPr>
          <w:i/>
        </w:rPr>
      </w:pPr>
      <w:r>
        <w:t>Between now and approval of the Final Capital Programme by Cabinet in February 2017, the draft capital proposals set out in Appendix 1 will be reviewed and given further consideration as to whether they are included in the Final Capital programme 2017/18 to 2019/20.</w:t>
      </w:r>
    </w:p>
    <w:p w:rsidR="00FA1D36" w:rsidRDefault="00FA1D36" w:rsidP="00C64714">
      <w:pPr>
        <w:tabs>
          <w:tab w:val="num" w:pos="1560"/>
        </w:tabs>
        <w:spacing w:after="240"/>
        <w:jc w:val="both"/>
        <w:rPr>
          <w:i/>
        </w:rPr>
      </w:pPr>
    </w:p>
    <w:p w:rsidR="007C49E5" w:rsidRPr="005B1B67" w:rsidRDefault="007C49E5" w:rsidP="00C64714">
      <w:pPr>
        <w:tabs>
          <w:tab w:val="num" w:pos="1560"/>
        </w:tabs>
        <w:spacing w:after="240"/>
        <w:jc w:val="both"/>
        <w:rPr>
          <w:i/>
        </w:rPr>
      </w:pPr>
    </w:p>
    <w:p w:rsidR="000C14C9" w:rsidRPr="00D47AA9" w:rsidRDefault="000C14C9" w:rsidP="00D47AA9">
      <w:pPr>
        <w:spacing w:after="240"/>
        <w:ind w:firstLine="426"/>
        <w:jc w:val="both"/>
        <w:rPr>
          <w:rFonts w:cs="Arial"/>
          <w:b/>
          <w:szCs w:val="24"/>
        </w:rPr>
      </w:pPr>
      <w:r w:rsidRPr="00105B2C">
        <w:rPr>
          <w:rFonts w:cs="Arial"/>
          <w:b/>
          <w:szCs w:val="24"/>
        </w:rPr>
        <w:t>Capital Funding</w:t>
      </w:r>
      <w:r>
        <w:rPr>
          <w:rFonts w:cs="Arial"/>
          <w:b/>
          <w:szCs w:val="24"/>
        </w:rPr>
        <w:t xml:space="preserve"> for the New </w:t>
      </w:r>
      <w:r w:rsidR="003B44AD">
        <w:rPr>
          <w:rFonts w:cs="Arial"/>
          <w:b/>
          <w:szCs w:val="24"/>
        </w:rPr>
        <w:t>C</w:t>
      </w:r>
      <w:r>
        <w:rPr>
          <w:rFonts w:cs="Arial"/>
          <w:b/>
          <w:szCs w:val="24"/>
        </w:rPr>
        <w:t>apital Addition</w:t>
      </w:r>
      <w:r w:rsidR="00D47AA9">
        <w:rPr>
          <w:rFonts w:cs="Arial"/>
          <w:b/>
          <w:szCs w:val="24"/>
        </w:rPr>
        <w:t>s</w:t>
      </w:r>
    </w:p>
    <w:p w:rsidR="000C14C9" w:rsidRPr="000D4DCF" w:rsidRDefault="00D47AA9" w:rsidP="000C14C9">
      <w:pPr>
        <w:numPr>
          <w:ilvl w:val="0"/>
          <w:numId w:val="27"/>
        </w:numPr>
        <w:tabs>
          <w:tab w:val="num" w:pos="1985"/>
        </w:tabs>
        <w:jc w:val="both"/>
        <w:rPr>
          <w:rFonts w:cs="Arial"/>
          <w:szCs w:val="24"/>
        </w:rPr>
      </w:pPr>
      <w:r>
        <w:rPr>
          <w:rFonts w:cs="Arial"/>
          <w:szCs w:val="24"/>
        </w:rPr>
        <w:t xml:space="preserve">It is </w:t>
      </w:r>
      <w:r w:rsidRPr="00105B2C">
        <w:rPr>
          <w:rFonts w:cs="Arial"/>
          <w:szCs w:val="24"/>
        </w:rPr>
        <w:t xml:space="preserve">anticipated that the </w:t>
      </w:r>
      <w:r>
        <w:rPr>
          <w:rFonts w:cs="Arial"/>
          <w:szCs w:val="24"/>
        </w:rPr>
        <w:t xml:space="preserve">new capital additions to the </w:t>
      </w:r>
      <w:r w:rsidRPr="00105B2C">
        <w:rPr>
          <w:rFonts w:cs="Arial"/>
          <w:szCs w:val="24"/>
        </w:rPr>
        <w:t xml:space="preserve">General Fund programme will be financed </w:t>
      </w:r>
      <w:r>
        <w:rPr>
          <w:rFonts w:cs="Arial"/>
          <w:szCs w:val="24"/>
        </w:rPr>
        <w:t>from additional borrowing</w:t>
      </w:r>
      <w:r w:rsidRPr="00105B2C">
        <w:rPr>
          <w:rFonts w:cs="Arial"/>
          <w:szCs w:val="24"/>
        </w:rPr>
        <w:t xml:space="preserve"> </w:t>
      </w:r>
      <w:r w:rsidR="000C14C9" w:rsidRPr="00105B2C">
        <w:rPr>
          <w:rFonts w:cs="Arial"/>
          <w:szCs w:val="24"/>
        </w:rPr>
        <w:t xml:space="preserve">The revenue implications of this new borrowing, in the context of the Council’s treasury management activity, are set out in </w:t>
      </w:r>
      <w:r w:rsidR="00693072">
        <w:rPr>
          <w:rFonts w:cs="Arial"/>
          <w:szCs w:val="24"/>
        </w:rPr>
        <w:t>t</w:t>
      </w:r>
      <w:r w:rsidR="000C14C9" w:rsidRPr="00105B2C">
        <w:rPr>
          <w:rFonts w:cs="Arial"/>
          <w:szCs w:val="24"/>
        </w:rPr>
        <w:t>able</w:t>
      </w:r>
      <w:r w:rsidR="00693072">
        <w:rPr>
          <w:rFonts w:cs="Arial"/>
          <w:szCs w:val="24"/>
        </w:rPr>
        <w:t xml:space="preserve"> 2</w:t>
      </w:r>
      <w:r w:rsidR="000C14C9" w:rsidRPr="00105B2C">
        <w:rPr>
          <w:rFonts w:cs="Arial"/>
          <w:szCs w:val="24"/>
        </w:rPr>
        <w:t xml:space="preserve"> below. The revenue implications are factored in to the </w:t>
      </w:r>
      <w:r w:rsidR="000C14C9">
        <w:rPr>
          <w:rFonts w:cs="Arial"/>
          <w:szCs w:val="24"/>
        </w:rPr>
        <w:t xml:space="preserve">draft </w:t>
      </w:r>
      <w:r w:rsidR="000C14C9" w:rsidRPr="00105B2C">
        <w:rPr>
          <w:rFonts w:cs="Arial"/>
          <w:szCs w:val="24"/>
        </w:rPr>
        <w:t>revenue budget report for 201</w:t>
      </w:r>
      <w:r w:rsidR="003B44AD">
        <w:rPr>
          <w:rFonts w:cs="Arial"/>
          <w:szCs w:val="24"/>
        </w:rPr>
        <w:t>7</w:t>
      </w:r>
      <w:r w:rsidR="000C14C9" w:rsidRPr="00105B2C">
        <w:rPr>
          <w:rFonts w:cs="Arial"/>
          <w:szCs w:val="24"/>
        </w:rPr>
        <w:t>/1</w:t>
      </w:r>
      <w:r w:rsidR="003B44AD">
        <w:rPr>
          <w:rFonts w:cs="Arial"/>
          <w:szCs w:val="24"/>
        </w:rPr>
        <w:t>8</w:t>
      </w:r>
      <w:r w:rsidR="000C14C9" w:rsidRPr="00105B2C">
        <w:rPr>
          <w:rFonts w:cs="Arial"/>
          <w:szCs w:val="24"/>
        </w:rPr>
        <w:t xml:space="preserve"> to 201</w:t>
      </w:r>
      <w:r w:rsidR="000C14C9">
        <w:rPr>
          <w:rFonts w:cs="Arial"/>
          <w:szCs w:val="24"/>
        </w:rPr>
        <w:t>9</w:t>
      </w:r>
      <w:r w:rsidR="000C14C9" w:rsidRPr="00105B2C">
        <w:rPr>
          <w:rFonts w:cs="Arial"/>
          <w:szCs w:val="24"/>
        </w:rPr>
        <w:t>/</w:t>
      </w:r>
      <w:r w:rsidR="000C14C9">
        <w:rPr>
          <w:rFonts w:cs="Arial"/>
          <w:szCs w:val="24"/>
        </w:rPr>
        <w:t>20</w:t>
      </w:r>
      <w:r w:rsidR="000C14C9" w:rsidRPr="00105B2C">
        <w:rPr>
          <w:rFonts w:cs="Arial"/>
          <w:szCs w:val="24"/>
        </w:rPr>
        <w:t xml:space="preserve"> being considered by Cabinet elsewhere on this agenda. The table only includes the </w:t>
      </w:r>
      <w:r w:rsidR="003B44AD">
        <w:rPr>
          <w:rFonts w:cs="Arial"/>
          <w:szCs w:val="24"/>
        </w:rPr>
        <w:t xml:space="preserve">additional </w:t>
      </w:r>
      <w:r w:rsidR="000C14C9" w:rsidRPr="00105B2C">
        <w:rPr>
          <w:rFonts w:cs="Arial"/>
          <w:szCs w:val="24"/>
        </w:rPr>
        <w:t>revenue effects of the programme that is proposed and excludes the revenue implications of previous years’ capital programmes</w:t>
      </w:r>
      <w:r w:rsidR="00693072">
        <w:rPr>
          <w:rFonts w:cs="Arial"/>
          <w:szCs w:val="24"/>
        </w:rPr>
        <w:t xml:space="preserve"> which are already accounted for in the current MTFS</w:t>
      </w:r>
      <w:r w:rsidR="000C14C9" w:rsidRPr="00105B2C">
        <w:rPr>
          <w:rFonts w:cs="Arial"/>
          <w:szCs w:val="24"/>
        </w:rPr>
        <w:t xml:space="preserve">.  </w:t>
      </w:r>
    </w:p>
    <w:p w:rsidR="000C14C9" w:rsidRPr="000D4DCF" w:rsidRDefault="000C14C9" w:rsidP="000C14C9">
      <w:pPr>
        <w:jc w:val="both"/>
        <w:rPr>
          <w:rFonts w:cs="Arial"/>
          <w:szCs w:val="24"/>
        </w:rPr>
      </w:pPr>
    </w:p>
    <w:p w:rsidR="000C14C9" w:rsidRDefault="000C14C9" w:rsidP="00315E65">
      <w:pPr>
        <w:spacing w:after="120"/>
        <w:ind w:firstLine="360"/>
        <w:jc w:val="both"/>
        <w:rPr>
          <w:rFonts w:cs="Arial"/>
          <w:b/>
          <w:bCs/>
          <w:szCs w:val="24"/>
        </w:rPr>
      </w:pPr>
      <w:r w:rsidRPr="000D4DCF">
        <w:rPr>
          <w:rFonts w:cs="Arial"/>
          <w:b/>
          <w:bCs/>
          <w:szCs w:val="24"/>
        </w:rPr>
        <w:t xml:space="preserve">Table 2: Capital Financing Implications of </w:t>
      </w:r>
      <w:r w:rsidR="00FB51BC">
        <w:rPr>
          <w:rFonts w:cs="Arial"/>
          <w:b/>
          <w:bCs/>
          <w:szCs w:val="24"/>
        </w:rPr>
        <w:t>New Additions</w:t>
      </w:r>
    </w:p>
    <w:tbl>
      <w:tblPr>
        <w:tblW w:w="6697" w:type="dxa"/>
        <w:tblInd w:w="534" w:type="dxa"/>
        <w:tblLook w:val="04A0" w:firstRow="1" w:lastRow="0" w:firstColumn="1" w:lastColumn="0" w:noHBand="0" w:noVBand="1"/>
      </w:tblPr>
      <w:tblGrid>
        <w:gridCol w:w="3543"/>
        <w:gridCol w:w="1115"/>
        <w:gridCol w:w="1012"/>
        <w:gridCol w:w="1027"/>
      </w:tblGrid>
      <w:tr w:rsidR="00B14937" w:rsidRPr="00B14937" w:rsidTr="00B14937">
        <w:trPr>
          <w:trHeight w:val="763"/>
        </w:trPr>
        <w:tc>
          <w:tcPr>
            <w:tcW w:w="3543" w:type="dxa"/>
            <w:tcBorders>
              <w:top w:val="single" w:sz="8" w:space="0" w:color="auto"/>
              <w:left w:val="single" w:sz="8" w:space="0" w:color="auto"/>
              <w:bottom w:val="nil"/>
              <w:right w:val="single" w:sz="8" w:space="0" w:color="auto"/>
            </w:tcBorders>
            <w:shd w:val="clear" w:color="auto" w:fill="auto"/>
            <w:vAlign w:val="center"/>
            <w:hideMark/>
          </w:tcPr>
          <w:p w:rsidR="00B14937" w:rsidRPr="00B14937" w:rsidRDefault="00B14937" w:rsidP="003B44AD">
            <w:pPr>
              <w:rPr>
                <w:rFonts w:cs="Arial"/>
                <w:b/>
                <w:bCs/>
                <w:sz w:val="22"/>
                <w:szCs w:val="22"/>
                <w:lang w:eastAsia="en-GB"/>
              </w:rPr>
            </w:pPr>
            <w:r w:rsidRPr="00B14937">
              <w:rPr>
                <w:rFonts w:cs="Arial"/>
                <w:b/>
                <w:bCs/>
                <w:sz w:val="22"/>
                <w:szCs w:val="22"/>
                <w:lang w:eastAsia="en-GB"/>
              </w:rPr>
              <w:t>Capital Financing Costs</w:t>
            </w:r>
          </w:p>
        </w:tc>
        <w:tc>
          <w:tcPr>
            <w:tcW w:w="1115" w:type="dxa"/>
            <w:tcBorders>
              <w:top w:val="single" w:sz="8" w:space="0" w:color="auto"/>
              <w:left w:val="nil"/>
              <w:bottom w:val="nil"/>
              <w:right w:val="single" w:sz="8" w:space="0" w:color="auto"/>
            </w:tcBorders>
            <w:shd w:val="clear" w:color="auto" w:fill="auto"/>
            <w:vAlign w:val="center"/>
            <w:hideMark/>
          </w:tcPr>
          <w:p w:rsidR="00B14937" w:rsidRPr="00B14937" w:rsidRDefault="00B14937" w:rsidP="003B44AD">
            <w:pPr>
              <w:jc w:val="right"/>
              <w:rPr>
                <w:rFonts w:cs="Arial"/>
                <w:b/>
                <w:bCs/>
                <w:sz w:val="22"/>
                <w:szCs w:val="22"/>
                <w:lang w:eastAsia="en-GB"/>
              </w:rPr>
            </w:pPr>
            <w:r w:rsidRPr="00B14937">
              <w:rPr>
                <w:rFonts w:cs="Arial"/>
                <w:b/>
                <w:bCs/>
                <w:sz w:val="22"/>
                <w:szCs w:val="22"/>
                <w:lang w:eastAsia="en-GB"/>
              </w:rPr>
              <w:t>2017/18</w:t>
            </w:r>
          </w:p>
        </w:tc>
        <w:tc>
          <w:tcPr>
            <w:tcW w:w="1012" w:type="dxa"/>
            <w:tcBorders>
              <w:top w:val="single" w:sz="8" w:space="0" w:color="auto"/>
              <w:left w:val="nil"/>
              <w:bottom w:val="nil"/>
              <w:right w:val="single" w:sz="8" w:space="0" w:color="auto"/>
            </w:tcBorders>
            <w:shd w:val="clear" w:color="auto" w:fill="auto"/>
            <w:vAlign w:val="center"/>
            <w:hideMark/>
          </w:tcPr>
          <w:p w:rsidR="00B14937" w:rsidRPr="00B14937" w:rsidRDefault="00B14937" w:rsidP="003B44AD">
            <w:pPr>
              <w:jc w:val="right"/>
              <w:rPr>
                <w:rFonts w:cs="Arial"/>
                <w:b/>
                <w:bCs/>
                <w:sz w:val="22"/>
                <w:szCs w:val="22"/>
                <w:lang w:eastAsia="en-GB"/>
              </w:rPr>
            </w:pPr>
            <w:r w:rsidRPr="00B14937">
              <w:rPr>
                <w:rFonts w:cs="Arial"/>
                <w:b/>
                <w:bCs/>
                <w:sz w:val="22"/>
                <w:szCs w:val="22"/>
                <w:lang w:eastAsia="en-GB"/>
              </w:rPr>
              <w:t>2018/19</w:t>
            </w:r>
          </w:p>
        </w:tc>
        <w:tc>
          <w:tcPr>
            <w:tcW w:w="1027" w:type="dxa"/>
            <w:tcBorders>
              <w:top w:val="single" w:sz="8" w:space="0" w:color="auto"/>
              <w:left w:val="nil"/>
              <w:bottom w:val="nil"/>
              <w:right w:val="single" w:sz="8" w:space="0" w:color="auto"/>
            </w:tcBorders>
            <w:shd w:val="clear" w:color="auto" w:fill="auto"/>
            <w:vAlign w:val="center"/>
            <w:hideMark/>
          </w:tcPr>
          <w:p w:rsidR="00B14937" w:rsidRPr="00B14937" w:rsidRDefault="00B14937" w:rsidP="003B44AD">
            <w:pPr>
              <w:jc w:val="right"/>
              <w:rPr>
                <w:rFonts w:cs="Arial"/>
                <w:b/>
                <w:bCs/>
                <w:sz w:val="22"/>
                <w:szCs w:val="22"/>
                <w:lang w:eastAsia="en-GB"/>
              </w:rPr>
            </w:pPr>
            <w:r w:rsidRPr="00B14937">
              <w:rPr>
                <w:rFonts w:cs="Arial"/>
                <w:b/>
                <w:bCs/>
                <w:sz w:val="22"/>
                <w:szCs w:val="22"/>
                <w:lang w:eastAsia="en-GB"/>
              </w:rPr>
              <w:t>2019/20</w:t>
            </w:r>
          </w:p>
        </w:tc>
      </w:tr>
      <w:tr w:rsidR="00B14937" w:rsidRPr="00B14937" w:rsidTr="00B14937">
        <w:trPr>
          <w:trHeight w:val="330"/>
        </w:trPr>
        <w:tc>
          <w:tcPr>
            <w:tcW w:w="3543" w:type="dxa"/>
            <w:tcBorders>
              <w:top w:val="single" w:sz="8" w:space="0" w:color="auto"/>
              <w:left w:val="single" w:sz="8" w:space="0" w:color="auto"/>
              <w:bottom w:val="nil"/>
              <w:right w:val="single" w:sz="8" w:space="0" w:color="auto"/>
            </w:tcBorders>
            <w:shd w:val="clear" w:color="auto" w:fill="auto"/>
            <w:vAlign w:val="center"/>
            <w:hideMark/>
          </w:tcPr>
          <w:p w:rsidR="00B14937" w:rsidRPr="00B14937" w:rsidRDefault="00B14937" w:rsidP="003B44AD">
            <w:pPr>
              <w:rPr>
                <w:rFonts w:cs="Arial"/>
                <w:b/>
                <w:bCs/>
                <w:sz w:val="22"/>
                <w:szCs w:val="22"/>
                <w:lang w:eastAsia="en-GB"/>
              </w:rPr>
            </w:pPr>
            <w:r w:rsidRPr="00B14937">
              <w:rPr>
                <w:rFonts w:cs="Arial"/>
                <w:b/>
                <w:bCs/>
                <w:sz w:val="22"/>
                <w:szCs w:val="22"/>
                <w:lang w:eastAsia="en-GB"/>
              </w:rPr>
              <w:t> </w:t>
            </w:r>
          </w:p>
        </w:tc>
        <w:tc>
          <w:tcPr>
            <w:tcW w:w="1115" w:type="dxa"/>
            <w:tcBorders>
              <w:top w:val="single" w:sz="8" w:space="0" w:color="auto"/>
              <w:left w:val="nil"/>
              <w:bottom w:val="nil"/>
              <w:right w:val="single" w:sz="8" w:space="0" w:color="auto"/>
            </w:tcBorders>
            <w:shd w:val="clear" w:color="auto" w:fill="auto"/>
            <w:vAlign w:val="center"/>
            <w:hideMark/>
          </w:tcPr>
          <w:p w:rsidR="00B14937" w:rsidRPr="00B14937" w:rsidRDefault="00B14937" w:rsidP="003B44AD">
            <w:pPr>
              <w:jc w:val="right"/>
              <w:rPr>
                <w:rFonts w:cs="Arial"/>
                <w:b/>
                <w:bCs/>
                <w:sz w:val="22"/>
                <w:szCs w:val="22"/>
                <w:lang w:eastAsia="en-GB"/>
              </w:rPr>
            </w:pPr>
            <w:r w:rsidRPr="00B14937">
              <w:rPr>
                <w:rFonts w:cs="Arial"/>
                <w:b/>
                <w:bCs/>
                <w:sz w:val="22"/>
                <w:szCs w:val="22"/>
                <w:lang w:eastAsia="en-GB"/>
              </w:rPr>
              <w:t>£000</w:t>
            </w:r>
          </w:p>
        </w:tc>
        <w:tc>
          <w:tcPr>
            <w:tcW w:w="1012" w:type="dxa"/>
            <w:tcBorders>
              <w:top w:val="single" w:sz="8" w:space="0" w:color="auto"/>
              <w:left w:val="nil"/>
              <w:bottom w:val="nil"/>
              <w:right w:val="single" w:sz="8" w:space="0" w:color="auto"/>
            </w:tcBorders>
            <w:shd w:val="clear" w:color="auto" w:fill="auto"/>
            <w:vAlign w:val="center"/>
            <w:hideMark/>
          </w:tcPr>
          <w:p w:rsidR="00B14937" w:rsidRPr="00B14937" w:rsidRDefault="00B14937" w:rsidP="003B44AD">
            <w:pPr>
              <w:jc w:val="right"/>
              <w:rPr>
                <w:rFonts w:cs="Arial"/>
                <w:b/>
                <w:bCs/>
                <w:sz w:val="22"/>
                <w:szCs w:val="22"/>
                <w:lang w:eastAsia="en-GB"/>
              </w:rPr>
            </w:pPr>
            <w:r w:rsidRPr="00B14937">
              <w:rPr>
                <w:rFonts w:cs="Arial"/>
                <w:b/>
                <w:bCs/>
                <w:sz w:val="22"/>
                <w:szCs w:val="22"/>
                <w:lang w:eastAsia="en-GB"/>
              </w:rPr>
              <w:t>£000</w:t>
            </w:r>
          </w:p>
        </w:tc>
        <w:tc>
          <w:tcPr>
            <w:tcW w:w="1027" w:type="dxa"/>
            <w:tcBorders>
              <w:top w:val="single" w:sz="8" w:space="0" w:color="auto"/>
              <w:left w:val="nil"/>
              <w:bottom w:val="nil"/>
              <w:right w:val="single" w:sz="8" w:space="0" w:color="auto"/>
            </w:tcBorders>
            <w:shd w:val="clear" w:color="auto" w:fill="auto"/>
            <w:vAlign w:val="center"/>
            <w:hideMark/>
          </w:tcPr>
          <w:p w:rsidR="00B14937" w:rsidRPr="00B14937" w:rsidRDefault="00B14937" w:rsidP="003B44AD">
            <w:pPr>
              <w:jc w:val="right"/>
              <w:rPr>
                <w:rFonts w:cs="Arial"/>
                <w:b/>
                <w:bCs/>
                <w:sz w:val="22"/>
                <w:szCs w:val="22"/>
                <w:lang w:eastAsia="en-GB"/>
              </w:rPr>
            </w:pPr>
            <w:r w:rsidRPr="00B14937">
              <w:rPr>
                <w:rFonts w:cs="Arial"/>
                <w:b/>
                <w:bCs/>
                <w:sz w:val="22"/>
                <w:szCs w:val="22"/>
                <w:lang w:eastAsia="en-GB"/>
              </w:rPr>
              <w:t>£000</w:t>
            </w:r>
          </w:p>
        </w:tc>
      </w:tr>
      <w:tr w:rsidR="00B14937" w:rsidRPr="00B14937" w:rsidTr="00B14937">
        <w:trPr>
          <w:trHeight w:val="330"/>
        </w:trPr>
        <w:tc>
          <w:tcPr>
            <w:tcW w:w="35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4937" w:rsidRPr="00B14937" w:rsidRDefault="00B14937" w:rsidP="003B44AD">
            <w:pPr>
              <w:rPr>
                <w:rFonts w:cs="Arial"/>
                <w:b/>
                <w:bCs/>
                <w:sz w:val="22"/>
                <w:szCs w:val="22"/>
                <w:lang w:eastAsia="en-GB"/>
              </w:rPr>
            </w:pPr>
            <w:r w:rsidRPr="00B14937">
              <w:rPr>
                <w:rFonts w:cs="Arial"/>
                <w:b/>
                <w:bCs/>
                <w:sz w:val="22"/>
                <w:szCs w:val="22"/>
                <w:lang w:eastAsia="en-GB"/>
              </w:rPr>
              <w:t> </w:t>
            </w:r>
          </w:p>
        </w:tc>
        <w:tc>
          <w:tcPr>
            <w:tcW w:w="1115" w:type="dxa"/>
            <w:tcBorders>
              <w:top w:val="single" w:sz="8" w:space="0" w:color="auto"/>
              <w:left w:val="nil"/>
              <w:bottom w:val="single" w:sz="8" w:space="0" w:color="auto"/>
              <w:right w:val="single" w:sz="8" w:space="0" w:color="auto"/>
            </w:tcBorders>
            <w:shd w:val="clear" w:color="auto" w:fill="auto"/>
            <w:vAlign w:val="center"/>
            <w:hideMark/>
          </w:tcPr>
          <w:p w:rsidR="00B14937" w:rsidRPr="00B14937" w:rsidRDefault="00B14937" w:rsidP="003B44AD">
            <w:pPr>
              <w:jc w:val="right"/>
              <w:rPr>
                <w:rFonts w:cs="Arial"/>
                <w:b/>
                <w:bCs/>
                <w:sz w:val="22"/>
                <w:szCs w:val="22"/>
                <w:lang w:eastAsia="en-GB"/>
              </w:rPr>
            </w:pPr>
            <w:r w:rsidRPr="00B14937">
              <w:rPr>
                <w:rFonts w:cs="Arial"/>
                <w:b/>
                <w:bCs/>
                <w:sz w:val="22"/>
                <w:szCs w:val="22"/>
                <w:lang w:eastAsia="en-GB"/>
              </w:rPr>
              <w:t> </w:t>
            </w:r>
          </w:p>
        </w:tc>
        <w:tc>
          <w:tcPr>
            <w:tcW w:w="1012" w:type="dxa"/>
            <w:tcBorders>
              <w:top w:val="single" w:sz="8" w:space="0" w:color="auto"/>
              <w:left w:val="nil"/>
              <w:bottom w:val="single" w:sz="8" w:space="0" w:color="auto"/>
              <w:right w:val="single" w:sz="8" w:space="0" w:color="auto"/>
            </w:tcBorders>
            <w:shd w:val="clear" w:color="auto" w:fill="auto"/>
            <w:vAlign w:val="center"/>
            <w:hideMark/>
          </w:tcPr>
          <w:p w:rsidR="00B14937" w:rsidRPr="00B14937" w:rsidRDefault="00B14937" w:rsidP="003B44AD">
            <w:pPr>
              <w:jc w:val="right"/>
              <w:rPr>
                <w:rFonts w:cs="Arial"/>
                <w:b/>
                <w:bCs/>
                <w:sz w:val="22"/>
                <w:szCs w:val="22"/>
                <w:lang w:eastAsia="en-GB"/>
              </w:rPr>
            </w:pPr>
            <w:r w:rsidRPr="00B14937">
              <w:rPr>
                <w:rFonts w:cs="Arial"/>
                <w:b/>
                <w:bCs/>
                <w:sz w:val="22"/>
                <w:szCs w:val="22"/>
                <w:lang w:eastAsia="en-GB"/>
              </w:rPr>
              <w:t> </w:t>
            </w:r>
          </w:p>
        </w:tc>
        <w:tc>
          <w:tcPr>
            <w:tcW w:w="1027" w:type="dxa"/>
            <w:tcBorders>
              <w:top w:val="single" w:sz="8" w:space="0" w:color="auto"/>
              <w:left w:val="nil"/>
              <w:bottom w:val="single" w:sz="8" w:space="0" w:color="auto"/>
              <w:right w:val="single" w:sz="8" w:space="0" w:color="auto"/>
            </w:tcBorders>
            <w:shd w:val="clear" w:color="auto" w:fill="auto"/>
            <w:vAlign w:val="center"/>
            <w:hideMark/>
          </w:tcPr>
          <w:p w:rsidR="00B14937" w:rsidRPr="00B14937" w:rsidRDefault="00B14937" w:rsidP="003B44AD">
            <w:pPr>
              <w:jc w:val="right"/>
              <w:rPr>
                <w:rFonts w:cs="Arial"/>
                <w:b/>
                <w:bCs/>
                <w:sz w:val="22"/>
                <w:szCs w:val="22"/>
                <w:lang w:eastAsia="en-GB"/>
              </w:rPr>
            </w:pPr>
            <w:r w:rsidRPr="00B14937">
              <w:rPr>
                <w:rFonts w:cs="Arial"/>
                <w:b/>
                <w:bCs/>
                <w:sz w:val="22"/>
                <w:szCs w:val="22"/>
                <w:lang w:eastAsia="en-GB"/>
              </w:rPr>
              <w:t> </w:t>
            </w:r>
          </w:p>
        </w:tc>
      </w:tr>
      <w:tr w:rsidR="00B14937" w:rsidRPr="00B14937" w:rsidTr="00B14937">
        <w:trPr>
          <w:trHeight w:val="330"/>
        </w:trPr>
        <w:tc>
          <w:tcPr>
            <w:tcW w:w="3543"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B14937" w:rsidRPr="00B14937" w:rsidRDefault="00B14937" w:rsidP="003B44AD">
            <w:pPr>
              <w:rPr>
                <w:rFonts w:cs="Arial"/>
                <w:b/>
                <w:bCs/>
                <w:sz w:val="22"/>
                <w:szCs w:val="22"/>
                <w:highlight w:val="lightGray"/>
                <w:lang w:eastAsia="en-GB"/>
              </w:rPr>
            </w:pPr>
            <w:r w:rsidRPr="00B14937">
              <w:rPr>
                <w:rFonts w:cs="Arial"/>
                <w:b/>
                <w:bCs/>
                <w:sz w:val="22"/>
                <w:szCs w:val="22"/>
                <w:highlight w:val="lightGray"/>
                <w:lang w:eastAsia="en-GB"/>
              </w:rPr>
              <w:t>Total MRP</w:t>
            </w:r>
          </w:p>
        </w:tc>
        <w:tc>
          <w:tcPr>
            <w:tcW w:w="1115" w:type="dxa"/>
            <w:tcBorders>
              <w:top w:val="single" w:sz="8" w:space="0" w:color="auto"/>
              <w:left w:val="nil"/>
              <w:bottom w:val="single" w:sz="8" w:space="0" w:color="auto"/>
              <w:right w:val="single" w:sz="8" w:space="0" w:color="auto"/>
            </w:tcBorders>
            <w:shd w:val="clear" w:color="000000" w:fill="BFBFBF"/>
            <w:vAlign w:val="center"/>
            <w:hideMark/>
          </w:tcPr>
          <w:p w:rsidR="00B14937" w:rsidRPr="00B14937" w:rsidRDefault="00B14937" w:rsidP="003B44AD">
            <w:pPr>
              <w:jc w:val="right"/>
              <w:rPr>
                <w:rFonts w:cs="Arial"/>
                <w:b/>
                <w:bCs/>
                <w:sz w:val="22"/>
                <w:szCs w:val="22"/>
                <w:highlight w:val="lightGray"/>
                <w:lang w:eastAsia="en-GB"/>
              </w:rPr>
            </w:pPr>
            <w:r w:rsidRPr="00B14937">
              <w:rPr>
                <w:rFonts w:cs="Arial"/>
                <w:b/>
                <w:bCs/>
                <w:sz w:val="22"/>
                <w:szCs w:val="22"/>
                <w:highlight w:val="lightGray"/>
                <w:lang w:eastAsia="en-GB"/>
              </w:rPr>
              <w:t>0</w:t>
            </w:r>
          </w:p>
        </w:tc>
        <w:tc>
          <w:tcPr>
            <w:tcW w:w="1012" w:type="dxa"/>
            <w:tcBorders>
              <w:top w:val="single" w:sz="8" w:space="0" w:color="auto"/>
              <w:left w:val="nil"/>
              <w:bottom w:val="single" w:sz="8" w:space="0" w:color="auto"/>
              <w:right w:val="single" w:sz="8" w:space="0" w:color="auto"/>
            </w:tcBorders>
            <w:shd w:val="clear" w:color="000000" w:fill="BFBFBF"/>
            <w:vAlign w:val="center"/>
            <w:hideMark/>
          </w:tcPr>
          <w:p w:rsidR="00B14937" w:rsidRPr="00B14937" w:rsidRDefault="00B14937" w:rsidP="003B44AD">
            <w:pPr>
              <w:jc w:val="right"/>
              <w:rPr>
                <w:rFonts w:cs="Arial"/>
                <w:b/>
                <w:bCs/>
                <w:sz w:val="22"/>
                <w:szCs w:val="22"/>
                <w:highlight w:val="lightGray"/>
                <w:lang w:eastAsia="en-GB"/>
              </w:rPr>
            </w:pPr>
            <w:r w:rsidRPr="00B14937">
              <w:rPr>
                <w:rFonts w:cs="Arial"/>
                <w:b/>
                <w:bCs/>
                <w:sz w:val="22"/>
                <w:szCs w:val="22"/>
                <w:highlight w:val="lightGray"/>
                <w:lang w:eastAsia="en-GB"/>
              </w:rPr>
              <w:t>1,090</w:t>
            </w:r>
          </w:p>
        </w:tc>
        <w:tc>
          <w:tcPr>
            <w:tcW w:w="1027" w:type="dxa"/>
            <w:tcBorders>
              <w:top w:val="single" w:sz="8" w:space="0" w:color="auto"/>
              <w:left w:val="nil"/>
              <w:bottom w:val="single" w:sz="8" w:space="0" w:color="auto"/>
              <w:right w:val="single" w:sz="8" w:space="0" w:color="auto"/>
            </w:tcBorders>
            <w:shd w:val="clear" w:color="000000" w:fill="BFBFBF"/>
            <w:vAlign w:val="center"/>
            <w:hideMark/>
          </w:tcPr>
          <w:p w:rsidR="00B14937" w:rsidRPr="00B14937" w:rsidRDefault="00B14937" w:rsidP="003B44AD">
            <w:pPr>
              <w:jc w:val="right"/>
              <w:rPr>
                <w:rFonts w:cs="Arial"/>
                <w:b/>
                <w:bCs/>
                <w:sz w:val="22"/>
                <w:szCs w:val="22"/>
                <w:highlight w:val="lightGray"/>
                <w:lang w:eastAsia="en-GB"/>
              </w:rPr>
            </w:pPr>
            <w:r w:rsidRPr="00B14937">
              <w:rPr>
                <w:rFonts w:cs="Arial"/>
                <w:b/>
                <w:bCs/>
                <w:sz w:val="22"/>
                <w:szCs w:val="22"/>
                <w:highlight w:val="lightGray"/>
                <w:lang w:eastAsia="en-GB"/>
              </w:rPr>
              <w:t>2,620</w:t>
            </w:r>
          </w:p>
        </w:tc>
      </w:tr>
      <w:tr w:rsidR="00B14937" w:rsidRPr="00B14937" w:rsidTr="00B14937">
        <w:trPr>
          <w:trHeight w:val="330"/>
        </w:trPr>
        <w:tc>
          <w:tcPr>
            <w:tcW w:w="35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14937" w:rsidRPr="00B14937" w:rsidRDefault="00B14937" w:rsidP="003B44AD">
            <w:pPr>
              <w:rPr>
                <w:rFonts w:cs="Arial"/>
                <w:b/>
                <w:bCs/>
                <w:sz w:val="22"/>
                <w:szCs w:val="22"/>
                <w:lang w:eastAsia="en-GB"/>
              </w:rPr>
            </w:pPr>
            <w:r w:rsidRPr="00B14937">
              <w:rPr>
                <w:rFonts w:cs="Arial"/>
                <w:b/>
                <w:bCs/>
                <w:sz w:val="22"/>
                <w:szCs w:val="22"/>
                <w:lang w:eastAsia="en-GB"/>
              </w:rPr>
              <w:t> </w:t>
            </w:r>
          </w:p>
        </w:tc>
        <w:tc>
          <w:tcPr>
            <w:tcW w:w="1115" w:type="dxa"/>
            <w:tcBorders>
              <w:top w:val="single" w:sz="8" w:space="0" w:color="auto"/>
              <w:left w:val="nil"/>
              <w:bottom w:val="single" w:sz="8" w:space="0" w:color="auto"/>
              <w:right w:val="single" w:sz="8" w:space="0" w:color="auto"/>
            </w:tcBorders>
            <w:shd w:val="clear" w:color="000000" w:fill="FFFFFF"/>
            <w:vAlign w:val="center"/>
            <w:hideMark/>
          </w:tcPr>
          <w:p w:rsidR="00B14937" w:rsidRPr="00B14937" w:rsidRDefault="00B14937" w:rsidP="003B44AD">
            <w:pPr>
              <w:jc w:val="right"/>
              <w:rPr>
                <w:rFonts w:cs="Arial"/>
                <w:b/>
                <w:bCs/>
                <w:sz w:val="22"/>
                <w:szCs w:val="22"/>
                <w:lang w:eastAsia="en-GB"/>
              </w:rPr>
            </w:pPr>
            <w:r w:rsidRPr="00B14937">
              <w:rPr>
                <w:rFonts w:cs="Arial"/>
                <w:b/>
                <w:bCs/>
                <w:sz w:val="22"/>
                <w:szCs w:val="22"/>
                <w:lang w:eastAsia="en-GB"/>
              </w:rPr>
              <w:t> </w:t>
            </w:r>
          </w:p>
        </w:tc>
        <w:tc>
          <w:tcPr>
            <w:tcW w:w="1012" w:type="dxa"/>
            <w:tcBorders>
              <w:top w:val="single" w:sz="8" w:space="0" w:color="auto"/>
              <w:left w:val="nil"/>
              <w:bottom w:val="single" w:sz="8" w:space="0" w:color="auto"/>
              <w:right w:val="single" w:sz="8" w:space="0" w:color="auto"/>
            </w:tcBorders>
            <w:shd w:val="clear" w:color="000000" w:fill="FFFFFF"/>
            <w:vAlign w:val="center"/>
            <w:hideMark/>
          </w:tcPr>
          <w:p w:rsidR="00B14937" w:rsidRPr="00B14937" w:rsidRDefault="00B14937" w:rsidP="003B44AD">
            <w:pPr>
              <w:jc w:val="right"/>
              <w:rPr>
                <w:rFonts w:cs="Arial"/>
                <w:b/>
                <w:bCs/>
                <w:sz w:val="22"/>
                <w:szCs w:val="22"/>
                <w:lang w:eastAsia="en-GB"/>
              </w:rPr>
            </w:pPr>
            <w:r w:rsidRPr="00B14937">
              <w:rPr>
                <w:rFonts w:cs="Arial"/>
                <w:b/>
                <w:bCs/>
                <w:sz w:val="22"/>
                <w:szCs w:val="22"/>
                <w:lang w:eastAsia="en-GB"/>
              </w:rPr>
              <w:t> </w:t>
            </w:r>
          </w:p>
        </w:tc>
        <w:tc>
          <w:tcPr>
            <w:tcW w:w="1027" w:type="dxa"/>
            <w:tcBorders>
              <w:top w:val="single" w:sz="8" w:space="0" w:color="auto"/>
              <w:left w:val="nil"/>
              <w:bottom w:val="single" w:sz="8" w:space="0" w:color="auto"/>
              <w:right w:val="single" w:sz="8" w:space="0" w:color="auto"/>
            </w:tcBorders>
            <w:shd w:val="clear" w:color="000000" w:fill="FFFFFF"/>
            <w:vAlign w:val="center"/>
            <w:hideMark/>
          </w:tcPr>
          <w:p w:rsidR="00B14937" w:rsidRPr="00B14937" w:rsidRDefault="00B14937" w:rsidP="003B44AD">
            <w:pPr>
              <w:jc w:val="right"/>
              <w:rPr>
                <w:rFonts w:cs="Arial"/>
                <w:b/>
                <w:bCs/>
                <w:sz w:val="22"/>
                <w:szCs w:val="22"/>
                <w:lang w:eastAsia="en-GB"/>
              </w:rPr>
            </w:pPr>
            <w:r w:rsidRPr="00B14937">
              <w:rPr>
                <w:rFonts w:cs="Arial"/>
                <w:b/>
                <w:bCs/>
                <w:sz w:val="22"/>
                <w:szCs w:val="22"/>
                <w:lang w:eastAsia="en-GB"/>
              </w:rPr>
              <w:t> </w:t>
            </w:r>
          </w:p>
        </w:tc>
      </w:tr>
      <w:tr w:rsidR="00B14937" w:rsidRPr="00B14937" w:rsidTr="00B14937">
        <w:trPr>
          <w:trHeight w:val="330"/>
        </w:trPr>
        <w:tc>
          <w:tcPr>
            <w:tcW w:w="3543"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B14937" w:rsidRPr="00B14937" w:rsidRDefault="00B14937" w:rsidP="003B44AD">
            <w:pPr>
              <w:rPr>
                <w:rFonts w:cs="Arial"/>
                <w:b/>
                <w:bCs/>
                <w:sz w:val="22"/>
                <w:szCs w:val="22"/>
                <w:lang w:eastAsia="en-GB"/>
              </w:rPr>
            </w:pPr>
            <w:r w:rsidRPr="00B14937">
              <w:rPr>
                <w:rFonts w:cs="Arial"/>
                <w:b/>
                <w:bCs/>
                <w:sz w:val="22"/>
                <w:szCs w:val="22"/>
                <w:lang w:eastAsia="en-GB"/>
              </w:rPr>
              <w:t>Total Interest</w:t>
            </w:r>
          </w:p>
        </w:tc>
        <w:tc>
          <w:tcPr>
            <w:tcW w:w="1115" w:type="dxa"/>
            <w:tcBorders>
              <w:top w:val="single" w:sz="8" w:space="0" w:color="auto"/>
              <w:left w:val="nil"/>
              <w:bottom w:val="single" w:sz="8" w:space="0" w:color="auto"/>
              <w:right w:val="single" w:sz="8" w:space="0" w:color="auto"/>
            </w:tcBorders>
            <w:shd w:val="clear" w:color="000000" w:fill="BFBFBF"/>
            <w:vAlign w:val="center"/>
            <w:hideMark/>
          </w:tcPr>
          <w:p w:rsidR="00B14937" w:rsidRPr="00B14937" w:rsidRDefault="00B14937" w:rsidP="003B44AD">
            <w:pPr>
              <w:jc w:val="right"/>
              <w:rPr>
                <w:rFonts w:cs="Arial"/>
                <w:b/>
                <w:bCs/>
                <w:sz w:val="22"/>
                <w:szCs w:val="22"/>
                <w:lang w:eastAsia="en-GB"/>
              </w:rPr>
            </w:pPr>
            <w:r w:rsidRPr="00B14937">
              <w:rPr>
                <w:rFonts w:cs="Arial"/>
                <w:b/>
                <w:bCs/>
                <w:sz w:val="22"/>
                <w:szCs w:val="22"/>
                <w:lang w:eastAsia="en-GB"/>
              </w:rPr>
              <w:t>215</w:t>
            </w:r>
          </w:p>
        </w:tc>
        <w:tc>
          <w:tcPr>
            <w:tcW w:w="1012" w:type="dxa"/>
            <w:tcBorders>
              <w:top w:val="single" w:sz="8" w:space="0" w:color="auto"/>
              <w:left w:val="nil"/>
              <w:bottom w:val="single" w:sz="8" w:space="0" w:color="auto"/>
              <w:right w:val="single" w:sz="8" w:space="0" w:color="auto"/>
            </w:tcBorders>
            <w:shd w:val="clear" w:color="000000" w:fill="BFBFBF"/>
            <w:vAlign w:val="center"/>
            <w:hideMark/>
          </w:tcPr>
          <w:p w:rsidR="00B14937" w:rsidRPr="00B14937" w:rsidRDefault="00B14937" w:rsidP="003B44AD">
            <w:pPr>
              <w:jc w:val="right"/>
              <w:rPr>
                <w:rFonts w:cs="Arial"/>
                <w:b/>
                <w:bCs/>
                <w:sz w:val="22"/>
                <w:szCs w:val="22"/>
                <w:lang w:eastAsia="en-GB"/>
              </w:rPr>
            </w:pPr>
            <w:r w:rsidRPr="00B14937">
              <w:rPr>
                <w:rFonts w:cs="Arial"/>
                <w:b/>
                <w:bCs/>
                <w:sz w:val="22"/>
                <w:szCs w:val="22"/>
                <w:lang w:eastAsia="en-GB"/>
              </w:rPr>
              <w:t>757</w:t>
            </w:r>
          </w:p>
        </w:tc>
        <w:tc>
          <w:tcPr>
            <w:tcW w:w="1027" w:type="dxa"/>
            <w:tcBorders>
              <w:top w:val="single" w:sz="8" w:space="0" w:color="auto"/>
              <w:left w:val="nil"/>
              <w:bottom w:val="single" w:sz="8" w:space="0" w:color="auto"/>
              <w:right w:val="single" w:sz="8" w:space="0" w:color="auto"/>
            </w:tcBorders>
            <w:shd w:val="clear" w:color="000000" w:fill="BFBFBF"/>
            <w:vAlign w:val="center"/>
            <w:hideMark/>
          </w:tcPr>
          <w:p w:rsidR="00B14937" w:rsidRPr="00B14937" w:rsidRDefault="00B14937" w:rsidP="003B44AD">
            <w:pPr>
              <w:jc w:val="right"/>
              <w:rPr>
                <w:rFonts w:cs="Arial"/>
                <w:b/>
                <w:bCs/>
                <w:sz w:val="22"/>
                <w:szCs w:val="22"/>
                <w:lang w:eastAsia="en-GB"/>
              </w:rPr>
            </w:pPr>
            <w:r w:rsidRPr="00B14937">
              <w:rPr>
                <w:rFonts w:cs="Arial"/>
                <w:b/>
                <w:bCs/>
                <w:sz w:val="22"/>
                <w:szCs w:val="22"/>
                <w:lang w:eastAsia="en-GB"/>
              </w:rPr>
              <w:t>1,283</w:t>
            </w:r>
          </w:p>
        </w:tc>
      </w:tr>
      <w:tr w:rsidR="00B14937" w:rsidRPr="00B14937" w:rsidTr="00B14937">
        <w:trPr>
          <w:trHeight w:val="292"/>
        </w:trPr>
        <w:tc>
          <w:tcPr>
            <w:tcW w:w="35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14937" w:rsidRPr="00B14937" w:rsidRDefault="00B14937" w:rsidP="003B44AD">
            <w:pPr>
              <w:rPr>
                <w:rFonts w:cs="Arial"/>
                <w:b/>
                <w:bCs/>
                <w:sz w:val="22"/>
                <w:szCs w:val="22"/>
                <w:lang w:eastAsia="en-GB"/>
              </w:rPr>
            </w:pPr>
            <w:r w:rsidRPr="00B14937">
              <w:rPr>
                <w:rFonts w:cs="Arial"/>
                <w:b/>
                <w:bCs/>
                <w:sz w:val="22"/>
                <w:szCs w:val="22"/>
                <w:lang w:eastAsia="en-GB"/>
              </w:rPr>
              <w:t> </w:t>
            </w:r>
          </w:p>
        </w:tc>
        <w:tc>
          <w:tcPr>
            <w:tcW w:w="1115" w:type="dxa"/>
            <w:tcBorders>
              <w:top w:val="single" w:sz="8" w:space="0" w:color="auto"/>
              <w:left w:val="nil"/>
              <w:bottom w:val="single" w:sz="8" w:space="0" w:color="auto"/>
              <w:right w:val="single" w:sz="8" w:space="0" w:color="auto"/>
            </w:tcBorders>
            <w:shd w:val="clear" w:color="000000" w:fill="FFFFFF"/>
            <w:vAlign w:val="center"/>
            <w:hideMark/>
          </w:tcPr>
          <w:p w:rsidR="00B14937" w:rsidRPr="00B14937" w:rsidRDefault="00B14937" w:rsidP="003B44AD">
            <w:pPr>
              <w:jc w:val="right"/>
              <w:rPr>
                <w:rFonts w:cs="Arial"/>
                <w:b/>
                <w:bCs/>
                <w:sz w:val="22"/>
                <w:szCs w:val="22"/>
                <w:lang w:eastAsia="en-GB"/>
              </w:rPr>
            </w:pPr>
            <w:r w:rsidRPr="00B14937">
              <w:rPr>
                <w:rFonts w:cs="Arial"/>
                <w:b/>
                <w:bCs/>
                <w:sz w:val="22"/>
                <w:szCs w:val="22"/>
                <w:lang w:eastAsia="en-GB"/>
              </w:rPr>
              <w:t> </w:t>
            </w:r>
          </w:p>
        </w:tc>
        <w:tc>
          <w:tcPr>
            <w:tcW w:w="1012" w:type="dxa"/>
            <w:tcBorders>
              <w:top w:val="single" w:sz="8" w:space="0" w:color="auto"/>
              <w:left w:val="nil"/>
              <w:bottom w:val="single" w:sz="8" w:space="0" w:color="auto"/>
              <w:right w:val="single" w:sz="8" w:space="0" w:color="auto"/>
            </w:tcBorders>
            <w:shd w:val="clear" w:color="000000" w:fill="FFFFFF"/>
            <w:vAlign w:val="center"/>
            <w:hideMark/>
          </w:tcPr>
          <w:p w:rsidR="00B14937" w:rsidRPr="00B14937" w:rsidRDefault="00B14937" w:rsidP="003B44AD">
            <w:pPr>
              <w:jc w:val="right"/>
              <w:rPr>
                <w:rFonts w:cs="Arial"/>
                <w:b/>
                <w:bCs/>
                <w:sz w:val="22"/>
                <w:szCs w:val="22"/>
                <w:lang w:eastAsia="en-GB"/>
              </w:rPr>
            </w:pPr>
            <w:r w:rsidRPr="00B14937">
              <w:rPr>
                <w:rFonts w:cs="Arial"/>
                <w:b/>
                <w:bCs/>
                <w:sz w:val="22"/>
                <w:szCs w:val="22"/>
                <w:lang w:eastAsia="en-GB"/>
              </w:rPr>
              <w:t> </w:t>
            </w:r>
          </w:p>
        </w:tc>
        <w:tc>
          <w:tcPr>
            <w:tcW w:w="1027" w:type="dxa"/>
            <w:tcBorders>
              <w:top w:val="single" w:sz="8" w:space="0" w:color="auto"/>
              <w:left w:val="nil"/>
              <w:bottom w:val="single" w:sz="8" w:space="0" w:color="auto"/>
              <w:right w:val="single" w:sz="8" w:space="0" w:color="auto"/>
            </w:tcBorders>
            <w:shd w:val="clear" w:color="000000" w:fill="FFFFFF"/>
            <w:vAlign w:val="center"/>
            <w:hideMark/>
          </w:tcPr>
          <w:p w:rsidR="00B14937" w:rsidRPr="00B14937" w:rsidRDefault="00B14937" w:rsidP="003B44AD">
            <w:pPr>
              <w:jc w:val="right"/>
              <w:rPr>
                <w:rFonts w:cs="Arial"/>
                <w:b/>
                <w:bCs/>
                <w:sz w:val="22"/>
                <w:szCs w:val="22"/>
                <w:lang w:eastAsia="en-GB"/>
              </w:rPr>
            </w:pPr>
            <w:r w:rsidRPr="00B14937">
              <w:rPr>
                <w:rFonts w:cs="Arial"/>
                <w:b/>
                <w:bCs/>
                <w:sz w:val="22"/>
                <w:szCs w:val="22"/>
                <w:lang w:eastAsia="en-GB"/>
              </w:rPr>
              <w:t> </w:t>
            </w:r>
          </w:p>
        </w:tc>
      </w:tr>
      <w:tr w:rsidR="00B14937" w:rsidRPr="00B14937" w:rsidTr="00B14937">
        <w:trPr>
          <w:trHeight w:val="396"/>
        </w:trPr>
        <w:tc>
          <w:tcPr>
            <w:tcW w:w="3543" w:type="dxa"/>
            <w:tcBorders>
              <w:top w:val="single" w:sz="8" w:space="0" w:color="auto"/>
              <w:left w:val="single" w:sz="8" w:space="0" w:color="auto"/>
              <w:bottom w:val="single" w:sz="4" w:space="0" w:color="auto"/>
              <w:right w:val="single" w:sz="8" w:space="0" w:color="auto"/>
            </w:tcBorders>
            <w:shd w:val="clear" w:color="000000" w:fill="BFBFBF"/>
            <w:vAlign w:val="center"/>
            <w:hideMark/>
          </w:tcPr>
          <w:p w:rsidR="00B14937" w:rsidRPr="00B14937" w:rsidRDefault="00B14937" w:rsidP="003B44AD">
            <w:pPr>
              <w:rPr>
                <w:rFonts w:cs="Arial"/>
                <w:b/>
                <w:bCs/>
                <w:sz w:val="22"/>
                <w:szCs w:val="22"/>
                <w:lang w:eastAsia="en-GB"/>
              </w:rPr>
            </w:pPr>
            <w:r w:rsidRPr="00B14937">
              <w:rPr>
                <w:rFonts w:cs="Arial"/>
                <w:b/>
                <w:bCs/>
                <w:sz w:val="22"/>
                <w:szCs w:val="22"/>
                <w:lang w:eastAsia="en-GB"/>
              </w:rPr>
              <w:t>Total Capital Financing Costs</w:t>
            </w:r>
          </w:p>
        </w:tc>
        <w:tc>
          <w:tcPr>
            <w:tcW w:w="1115" w:type="dxa"/>
            <w:tcBorders>
              <w:top w:val="single" w:sz="8" w:space="0" w:color="auto"/>
              <w:left w:val="nil"/>
              <w:bottom w:val="single" w:sz="4" w:space="0" w:color="auto"/>
              <w:right w:val="single" w:sz="8" w:space="0" w:color="auto"/>
            </w:tcBorders>
            <w:shd w:val="clear" w:color="000000" w:fill="BFBFBF"/>
            <w:vAlign w:val="center"/>
            <w:hideMark/>
          </w:tcPr>
          <w:p w:rsidR="00B14937" w:rsidRPr="00B14937" w:rsidRDefault="00B14937" w:rsidP="003B44AD">
            <w:pPr>
              <w:jc w:val="right"/>
              <w:rPr>
                <w:rFonts w:cs="Arial"/>
                <w:b/>
                <w:bCs/>
                <w:sz w:val="22"/>
                <w:szCs w:val="22"/>
                <w:lang w:eastAsia="en-GB"/>
              </w:rPr>
            </w:pPr>
            <w:r w:rsidRPr="00B14937">
              <w:rPr>
                <w:rFonts w:cs="Arial"/>
                <w:b/>
                <w:bCs/>
                <w:sz w:val="22"/>
                <w:szCs w:val="22"/>
                <w:lang w:eastAsia="en-GB"/>
              </w:rPr>
              <w:t>215</w:t>
            </w:r>
          </w:p>
        </w:tc>
        <w:tc>
          <w:tcPr>
            <w:tcW w:w="1012" w:type="dxa"/>
            <w:tcBorders>
              <w:top w:val="single" w:sz="8" w:space="0" w:color="auto"/>
              <w:left w:val="nil"/>
              <w:bottom w:val="single" w:sz="4" w:space="0" w:color="auto"/>
              <w:right w:val="single" w:sz="8" w:space="0" w:color="auto"/>
            </w:tcBorders>
            <w:shd w:val="clear" w:color="000000" w:fill="BFBFBF"/>
            <w:vAlign w:val="center"/>
            <w:hideMark/>
          </w:tcPr>
          <w:p w:rsidR="00B14937" w:rsidRPr="00B14937" w:rsidRDefault="00B14937" w:rsidP="003B44AD">
            <w:pPr>
              <w:jc w:val="right"/>
              <w:rPr>
                <w:rFonts w:cs="Arial"/>
                <w:b/>
                <w:bCs/>
                <w:sz w:val="22"/>
                <w:szCs w:val="22"/>
                <w:lang w:eastAsia="en-GB"/>
              </w:rPr>
            </w:pPr>
            <w:r w:rsidRPr="00B14937">
              <w:rPr>
                <w:rFonts w:cs="Arial"/>
                <w:b/>
                <w:bCs/>
                <w:sz w:val="22"/>
                <w:szCs w:val="22"/>
                <w:lang w:eastAsia="en-GB"/>
              </w:rPr>
              <w:t>1,847</w:t>
            </w:r>
          </w:p>
        </w:tc>
        <w:tc>
          <w:tcPr>
            <w:tcW w:w="1027" w:type="dxa"/>
            <w:tcBorders>
              <w:top w:val="single" w:sz="8" w:space="0" w:color="auto"/>
              <w:left w:val="nil"/>
              <w:bottom w:val="single" w:sz="4" w:space="0" w:color="auto"/>
              <w:right w:val="single" w:sz="8" w:space="0" w:color="auto"/>
            </w:tcBorders>
            <w:shd w:val="clear" w:color="000000" w:fill="BFBFBF"/>
            <w:vAlign w:val="center"/>
            <w:hideMark/>
          </w:tcPr>
          <w:p w:rsidR="00B14937" w:rsidRPr="00B14937" w:rsidRDefault="00B14937" w:rsidP="003B44AD">
            <w:pPr>
              <w:jc w:val="right"/>
              <w:rPr>
                <w:rFonts w:cs="Arial"/>
                <w:b/>
                <w:bCs/>
                <w:sz w:val="22"/>
                <w:szCs w:val="22"/>
                <w:lang w:eastAsia="en-GB"/>
              </w:rPr>
            </w:pPr>
            <w:r w:rsidRPr="00B14937">
              <w:rPr>
                <w:rFonts w:cs="Arial"/>
                <w:b/>
                <w:bCs/>
                <w:sz w:val="22"/>
                <w:szCs w:val="22"/>
                <w:lang w:eastAsia="en-GB"/>
              </w:rPr>
              <w:t>3,903</w:t>
            </w:r>
          </w:p>
        </w:tc>
      </w:tr>
    </w:tbl>
    <w:p w:rsidR="003B44AD" w:rsidRPr="00B14937" w:rsidRDefault="003B44AD" w:rsidP="000C14C9">
      <w:pPr>
        <w:spacing w:after="120"/>
        <w:jc w:val="both"/>
        <w:rPr>
          <w:rFonts w:cs="Arial"/>
          <w:b/>
          <w:bCs/>
          <w:sz w:val="22"/>
          <w:szCs w:val="22"/>
        </w:rPr>
      </w:pPr>
    </w:p>
    <w:p w:rsidR="00DB0292" w:rsidRDefault="000C14C9" w:rsidP="000C14C9">
      <w:pPr>
        <w:numPr>
          <w:ilvl w:val="0"/>
          <w:numId w:val="27"/>
        </w:numPr>
        <w:tabs>
          <w:tab w:val="clear" w:pos="360"/>
          <w:tab w:val="num" w:pos="567"/>
          <w:tab w:val="num" w:pos="1985"/>
        </w:tabs>
        <w:spacing w:after="240"/>
        <w:ind w:left="567" w:hanging="567"/>
        <w:jc w:val="both"/>
        <w:rPr>
          <w:rFonts w:cs="Arial"/>
          <w:szCs w:val="24"/>
        </w:rPr>
      </w:pPr>
      <w:r w:rsidRPr="000D4DCF">
        <w:rPr>
          <w:rFonts w:cs="Arial"/>
          <w:szCs w:val="24"/>
        </w:rPr>
        <w:t xml:space="preserve">The table above reflects the </w:t>
      </w:r>
      <w:r w:rsidR="00DB0292">
        <w:rPr>
          <w:rFonts w:cs="Arial"/>
          <w:szCs w:val="24"/>
        </w:rPr>
        <w:t xml:space="preserve">total </w:t>
      </w:r>
      <w:r w:rsidRPr="000D4DCF">
        <w:rPr>
          <w:rFonts w:cs="Arial"/>
          <w:szCs w:val="24"/>
        </w:rPr>
        <w:t xml:space="preserve">cost in each year of financing </w:t>
      </w:r>
      <w:r w:rsidR="007F4BDA">
        <w:rPr>
          <w:rFonts w:cs="Arial"/>
          <w:szCs w:val="24"/>
        </w:rPr>
        <w:t xml:space="preserve">the </w:t>
      </w:r>
      <w:r w:rsidRPr="000D4DCF">
        <w:rPr>
          <w:rFonts w:cs="Arial"/>
          <w:szCs w:val="24"/>
        </w:rPr>
        <w:t>201</w:t>
      </w:r>
      <w:r w:rsidR="003B44AD">
        <w:rPr>
          <w:rFonts w:cs="Arial"/>
          <w:szCs w:val="24"/>
        </w:rPr>
        <w:t>7</w:t>
      </w:r>
      <w:r w:rsidRPr="000D4DCF">
        <w:rPr>
          <w:rFonts w:cs="Arial"/>
          <w:szCs w:val="24"/>
        </w:rPr>
        <w:t>/1</w:t>
      </w:r>
      <w:r w:rsidR="003B44AD">
        <w:rPr>
          <w:rFonts w:cs="Arial"/>
          <w:szCs w:val="24"/>
        </w:rPr>
        <w:t>8</w:t>
      </w:r>
      <w:r w:rsidRPr="000D4DCF">
        <w:rPr>
          <w:rFonts w:cs="Arial"/>
          <w:szCs w:val="24"/>
        </w:rPr>
        <w:t xml:space="preserve"> to 2019/20</w:t>
      </w:r>
      <w:r w:rsidR="007F4BDA">
        <w:rPr>
          <w:rFonts w:cs="Arial"/>
          <w:szCs w:val="24"/>
        </w:rPr>
        <w:t xml:space="preserve"> additions to the </w:t>
      </w:r>
      <w:r w:rsidRPr="000D4DCF">
        <w:rPr>
          <w:rFonts w:cs="Arial"/>
          <w:szCs w:val="24"/>
        </w:rPr>
        <w:t xml:space="preserve">programme. </w:t>
      </w:r>
      <w:r w:rsidR="00DB0292">
        <w:rPr>
          <w:rFonts w:cs="Arial"/>
          <w:szCs w:val="24"/>
        </w:rPr>
        <w:t xml:space="preserve">The </w:t>
      </w:r>
      <w:r w:rsidR="00D15CFA">
        <w:rPr>
          <w:rFonts w:cs="Arial"/>
          <w:szCs w:val="24"/>
        </w:rPr>
        <w:t xml:space="preserve">incremental </w:t>
      </w:r>
      <w:r w:rsidR="00E23647">
        <w:rPr>
          <w:rFonts w:cs="Arial"/>
          <w:szCs w:val="24"/>
        </w:rPr>
        <w:t xml:space="preserve">revenue budget </w:t>
      </w:r>
      <w:r w:rsidR="00D15CFA">
        <w:rPr>
          <w:rFonts w:cs="Arial"/>
          <w:szCs w:val="24"/>
        </w:rPr>
        <w:t xml:space="preserve">increases </w:t>
      </w:r>
      <w:r w:rsidR="00E23647">
        <w:rPr>
          <w:rFonts w:cs="Arial"/>
          <w:szCs w:val="24"/>
        </w:rPr>
        <w:t xml:space="preserve">included in the MTFS for each </w:t>
      </w:r>
      <w:r w:rsidR="00DB0292">
        <w:rPr>
          <w:rFonts w:cs="Arial"/>
          <w:szCs w:val="24"/>
        </w:rPr>
        <w:t>year is as follows: £215k 2017/18, £1.632m 2018/19 and £</w:t>
      </w:r>
      <w:r w:rsidR="00D15CFA">
        <w:rPr>
          <w:rFonts w:cs="Arial"/>
          <w:szCs w:val="24"/>
        </w:rPr>
        <w:t>2.056</w:t>
      </w:r>
      <w:r w:rsidR="00DB0292">
        <w:rPr>
          <w:rFonts w:cs="Arial"/>
          <w:szCs w:val="24"/>
        </w:rPr>
        <w:t xml:space="preserve">m 2019/20.  </w:t>
      </w:r>
    </w:p>
    <w:p w:rsidR="000C14C9" w:rsidRPr="000D4DCF" w:rsidRDefault="000C14C9" w:rsidP="000C14C9">
      <w:pPr>
        <w:numPr>
          <w:ilvl w:val="0"/>
          <w:numId w:val="27"/>
        </w:numPr>
        <w:tabs>
          <w:tab w:val="clear" w:pos="360"/>
          <w:tab w:val="num" w:pos="567"/>
          <w:tab w:val="num" w:pos="1985"/>
        </w:tabs>
        <w:spacing w:after="240"/>
        <w:ind w:left="567" w:hanging="567"/>
        <w:jc w:val="both"/>
        <w:rPr>
          <w:rFonts w:cs="Arial"/>
          <w:szCs w:val="24"/>
        </w:rPr>
      </w:pPr>
      <w:r w:rsidRPr="000D4DCF">
        <w:rPr>
          <w:rFonts w:cs="Arial"/>
          <w:szCs w:val="24"/>
        </w:rPr>
        <w:t>There is no MRP impact in 201</w:t>
      </w:r>
      <w:r w:rsidR="003B44AD">
        <w:rPr>
          <w:rFonts w:cs="Arial"/>
          <w:szCs w:val="24"/>
        </w:rPr>
        <w:t>7</w:t>
      </w:r>
      <w:r w:rsidRPr="000D4DCF">
        <w:rPr>
          <w:rFonts w:cs="Arial"/>
          <w:szCs w:val="24"/>
        </w:rPr>
        <w:t>/1</w:t>
      </w:r>
      <w:r w:rsidR="003B44AD">
        <w:rPr>
          <w:rFonts w:cs="Arial"/>
          <w:szCs w:val="24"/>
        </w:rPr>
        <w:t>8</w:t>
      </w:r>
      <w:r w:rsidRPr="000D4DCF">
        <w:rPr>
          <w:rFonts w:cs="Arial"/>
          <w:szCs w:val="24"/>
        </w:rPr>
        <w:t xml:space="preserve"> as MRP in relation to expenditure in 201</w:t>
      </w:r>
      <w:r w:rsidR="003B44AD">
        <w:rPr>
          <w:rFonts w:cs="Arial"/>
          <w:szCs w:val="24"/>
        </w:rPr>
        <w:t>7</w:t>
      </w:r>
      <w:r w:rsidRPr="000D4DCF">
        <w:rPr>
          <w:rFonts w:cs="Arial"/>
          <w:szCs w:val="24"/>
        </w:rPr>
        <w:t>/1</w:t>
      </w:r>
      <w:r w:rsidR="003B44AD">
        <w:rPr>
          <w:rFonts w:cs="Arial"/>
          <w:szCs w:val="24"/>
        </w:rPr>
        <w:t>8</w:t>
      </w:r>
      <w:r w:rsidRPr="000D4DCF">
        <w:rPr>
          <w:rFonts w:cs="Arial"/>
          <w:szCs w:val="24"/>
        </w:rPr>
        <w:t xml:space="preserve"> does not commence until 201</w:t>
      </w:r>
      <w:r w:rsidR="003B44AD">
        <w:rPr>
          <w:rFonts w:cs="Arial"/>
          <w:szCs w:val="24"/>
        </w:rPr>
        <w:t>8</w:t>
      </w:r>
      <w:r w:rsidRPr="000D4DCF">
        <w:rPr>
          <w:rFonts w:cs="Arial"/>
          <w:szCs w:val="24"/>
        </w:rPr>
        <w:t>/1</w:t>
      </w:r>
      <w:r w:rsidR="003B44AD">
        <w:rPr>
          <w:rFonts w:cs="Arial"/>
          <w:szCs w:val="24"/>
        </w:rPr>
        <w:t>9</w:t>
      </w:r>
      <w:r w:rsidRPr="000D4DCF">
        <w:rPr>
          <w:rFonts w:cs="Arial"/>
          <w:szCs w:val="24"/>
        </w:rPr>
        <w:t xml:space="preserve">.   </w:t>
      </w:r>
    </w:p>
    <w:p w:rsidR="000C14C9" w:rsidRPr="00105B2C" w:rsidRDefault="000C14C9" w:rsidP="000C14C9">
      <w:pPr>
        <w:numPr>
          <w:ilvl w:val="0"/>
          <w:numId w:val="27"/>
        </w:numPr>
        <w:tabs>
          <w:tab w:val="clear" w:pos="360"/>
          <w:tab w:val="num" w:pos="567"/>
          <w:tab w:val="num" w:pos="1985"/>
        </w:tabs>
        <w:ind w:left="567" w:hanging="567"/>
        <w:jc w:val="both"/>
        <w:rPr>
          <w:rFonts w:cs="Arial"/>
          <w:szCs w:val="24"/>
        </w:rPr>
      </w:pPr>
      <w:r w:rsidRPr="00105B2C">
        <w:rPr>
          <w:rFonts w:cs="Arial"/>
          <w:szCs w:val="24"/>
        </w:rPr>
        <w:t xml:space="preserve">It should be noted that the capital financing costs are based on a number of assumptions about the level of capital expenditure, timing of any borrowing, </w:t>
      </w:r>
      <w:r w:rsidR="00693072">
        <w:rPr>
          <w:rFonts w:cs="Arial"/>
          <w:szCs w:val="24"/>
        </w:rPr>
        <w:t xml:space="preserve">PWLB </w:t>
      </w:r>
      <w:r w:rsidRPr="00105B2C">
        <w:rPr>
          <w:rFonts w:cs="Arial"/>
          <w:szCs w:val="24"/>
        </w:rPr>
        <w:t>interest rates</w:t>
      </w:r>
      <w:r w:rsidR="00693072">
        <w:rPr>
          <w:rFonts w:cs="Arial"/>
          <w:szCs w:val="24"/>
        </w:rPr>
        <w:t xml:space="preserve"> (current rates used at time of writing the report) </w:t>
      </w:r>
      <w:r w:rsidRPr="00105B2C">
        <w:rPr>
          <w:rFonts w:cs="Arial"/>
          <w:szCs w:val="24"/>
        </w:rPr>
        <w:t xml:space="preserve">and </w:t>
      </w:r>
      <w:r w:rsidR="00693072">
        <w:rPr>
          <w:rFonts w:cs="Arial"/>
          <w:szCs w:val="24"/>
        </w:rPr>
        <w:t>asset lives used in estimating</w:t>
      </w:r>
      <w:r w:rsidRPr="00105B2C">
        <w:rPr>
          <w:rFonts w:cs="Arial"/>
          <w:szCs w:val="24"/>
        </w:rPr>
        <w:t xml:space="preserve"> of the minimum revenue provision. The revenue budget reflects the best estim</w:t>
      </w:r>
      <w:r w:rsidR="00D47AA9">
        <w:rPr>
          <w:rFonts w:cs="Arial"/>
          <w:szCs w:val="24"/>
        </w:rPr>
        <w:t xml:space="preserve">ate based on these assumptions and will be reviewed </w:t>
      </w:r>
      <w:r w:rsidR="00A82C85">
        <w:rPr>
          <w:rFonts w:cs="Arial"/>
          <w:szCs w:val="24"/>
        </w:rPr>
        <w:t xml:space="preserve">and refined </w:t>
      </w:r>
      <w:r w:rsidR="00D47AA9">
        <w:rPr>
          <w:rFonts w:cs="Arial"/>
          <w:szCs w:val="24"/>
        </w:rPr>
        <w:t>as part of the Final Budget Report which will be presented to Cabinet in February 2017.</w:t>
      </w:r>
    </w:p>
    <w:p w:rsidR="003B44AD" w:rsidRDefault="003B44AD" w:rsidP="00B57442">
      <w:pPr>
        <w:tabs>
          <w:tab w:val="num" w:pos="1560"/>
        </w:tabs>
        <w:jc w:val="both"/>
      </w:pPr>
    </w:p>
    <w:p w:rsidR="00B57442" w:rsidRPr="000C14C9" w:rsidRDefault="001D438F" w:rsidP="00B57442">
      <w:pPr>
        <w:tabs>
          <w:tab w:val="num" w:pos="1560"/>
        </w:tabs>
        <w:ind w:left="567"/>
        <w:jc w:val="both"/>
        <w:rPr>
          <w:b/>
        </w:rPr>
      </w:pPr>
      <w:r w:rsidRPr="000C14C9">
        <w:rPr>
          <w:b/>
        </w:rPr>
        <w:t>Re</w:t>
      </w:r>
      <w:r w:rsidR="00B57442" w:rsidRPr="000C14C9">
        <w:rPr>
          <w:b/>
        </w:rPr>
        <w:t>-profiling</w:t>
      </w:r>
      <w:r w:rsidRPr="000C14C9">
        <w:rPr>
          <w:b/>
        </w:rPr>
        <w:t xml:space="preserve"> of existing Capital programme budgets </w:t>
      </w:r>
    </w:p>
    <w:p w:rsidR="009151D2" w:rsidRPr="009151D2" w:rsidRDefault="00B57442" w:rsidP="00C01297">
      <w:pPr>
        <w:numPr>
          <w:ilvl w:val="0"/>
          <w:numId w:val="27"/>
        </w:numPr>
        <w:tabs>
          <w:tab w:val="clear" w:pos="360"/>
          <w:tab w:val="num" w:pos="993"/>
          <w:tab w:val="num" w:pos="1560"/>
        </w:tabs>
        <w:ind w:left="567" w:hanging="567"/>
        <w:jc w:val="both"/>
      </w:pPr>
      <w:r w:rsidRPr="00DE6A36">
        <w:rPr>
          <w:rFonts w:cs="Arial"/>
          <w:szCs w:val="24"/>
        </w:rPr>
        <w:t>The starting point for this exercise was a refresh of the existing programme to 2019/20 by re-profiling budget</w:t>
      </w:r>
      <w:r w:rsidR="009151D2">
        <w:rPr>
          <w:rFonts w:cs="Arial"/>
          <w:szCs w:val="24"/>
        </w:rPr>
        <w:t xml:space="preserve">s between 2016/17 and 2019/20 to reflect the </w:t>
      </w:r>
      <w:r w:rsidR="00D47AA9">
        <w:rPr>
          <w:rFonts w:cs="Arial"/>
          <w:szCs w:val="24"/>
        </w:rPr>
        <w:t xml:space="preserve">latest estimated </w:t>
      </w:r>
      <w:r w:rsidR="009151D2">
        <w:rPr>
          <w:rFonts w:cs="Arial"/>
          <w:szCs w:val="24"/>
        </w:rPr>
        <w:t>spend</w:t>
      </w:r>
      <w:r w:rsidR="00D47AA9">
        <w:rPr>
          <w:rFonts w:cs="Arial"/>
          <w:szCs w:val="24"/>
        </w:rPr>
        <w:t>ing plans.</w:t>
      </w:r>
      <w:r w:rsidR="009151D2">
        <w:rPr>
          <w:rFonts w:cs="Arial"/>
          <w:szCs w:val="24"/>
        </w:rPr>
        <w:t xml:space="preserve">  The impact is neutral across the 4 years and all capital financing costs are already included in the </w:t>
      </w:r>
      <w:r w:rsidR="00D47AA9">
        <w:rPr>
          <w:rFonts w:cs="Arial"/>
          <w:szCs w:val="24"/>
        </w:rPr>
        <w:t>r</w:t>
      </w:r>
      <w:r w:rsidR="009151D2">
        <w:rPr>
          <w:rFonts w:cs="Arial"/>
          <w:szCs w:val="24"/>
        </w:rPr>
        <w:t xml:space="preserve">evenue budget. </w:t>
      </w:r>
      <w:r w:rsidR="00D47AA9">
        <w:rPr>
          <w:rFonts w:cs="Arial"/>
          <w:szCs w:val="24"/>
        </w:rPr>
        <w:t>T</w:t>
      </w:r>
      <w:r w:rsidR="009151D2">
        <w:rPr>
          <w:rFonts w:cs="Arial"/>
          <w:szCs w:val="24"/>
        </w:rPr>
        <w:t xml:space="preserve">able </w:t>
      </w:r>
      <w:r w:rsidR="00D47AA9">
        <w:rPr>
          <w:rFonts w:cs="Arial"/>
          <w:szCs w:val="24"/>
        </w:rPr>
        <w:t xml:space="preserve">3 </w:t>
      </w:r>
      <w:r w:rsidR="009151D2">
        <w:rPr>
          <w:rFonts w:cs="Arial"/>
          <w:szCs w:val="24"/>
        </w:rPr>
        <w:t>sets out the movement between the financial years</w:t>
      </w:r>
      <w:r w:rsidR="007C49E5">
        <w:rPr>
          <w:rFonts w:cs="Arial"/>
          <w:szCs w:val="24"/>
        </w:rPr>
        <w:t xml:space="preserve"> with the detail set out in Appendix 2</w:t>
      </w:r>
      <w:r w:rsidR="009151D2">
        <w:rPr>
          <w:rFonts w:cs="Arial"/>
          <w:szCs w:val="24"/>
        </w:rPr>
        <w:t>:</w:t>
      </w:r>
    </w:p>
    <w:p w:rsidR="009151D2" w:rsidRDefault="009151D2" w:rsidP="009151D2">
      <w:pPr>
        <w:tabs>
          <w:tab w:val="num" w:pos="1560"/>
        </w:tabs>
        <w:ind w:left="567"/>
        <w:jc w:val="both"/>
      </w:pPr>
    </w:p>
    <w:p w:rsidR="00A82C85" w:rsidRDefault="00A82C85" w:rsidP="009151D2">
      <w:pPr>
        <w:tabs>
          <w:tab w:val="num" w:pos="1560"/>
        </w:tabs>
        <w:ind w:left="567"/>
        <w:jc w:val="both"/>
      </w:pPr>
    </w:p>
    <w:p w:rsidR="00A82C85" w:rsidRDefault="00A82C85" w:rsidP="009151D2">
      <w:pPr>
        <w:tabs>
          <w:tab w:val="num" w:pos="1560"/>
        </w:tabs>
        <w:ind w:left="567"/>
        <w:jc w:val="both"/>
      </w:pPr>
    </w:p>
    <w:p w:rsidR="00A82C85" w:rsidRDefault="00A82C85" w:rsidP="009151D2">
      <w:pPr>
        <w:tabs>
          <w:tab w:val="num" w:pos="1560"/>
        </w:tabs>
        <w:ind w:left="567"/>
        <w:jc w:val="both"/>
      </w:pPr>
    </w:p>
    <w:p w:rsidR="00A82C85" w:rsidRDefault="00A82C85" w:rsidP="009151D2">
      <w:pPr>
        <w:tabs>
          <w:tab w:val="num" w:pos="1560"/>
        </w:tabs>
        <w:ind w:left="567"/>
        <w:jc w:val="both"/>
      </w:pPr>
    </w:p>
    <w:p w:rsidR="00D47AA9" w:rsidRDefault="00D47AA9" w:rsidP="009151D2">
      <w:pPr>
        <w:tabs>
          <w:tab w:val="num" w:pos="1560"/>
        </w:tabs>
        <w:ind w:left="567"/>
        <w:jc w:val="both"/>
      </w:pPr>
      <w:r>
        <w:t>Table 3</w:t>
      </w:r>
    </w:p>
    <w:p w:rsidR="00B14937" w:rsidRPr="009151D2" w:rsidRDefault="00B14937" w:rsidP="009151D2">
      <w:pPr>
        <w:tabs>
          <w:tab w:val="num" w:pos="1560"/>
        </w:tabs>
        <w:ind w:left="567"/>
        <w:jc w:val="both"/>
      </w:pPr>
      <w:r w:rsidRPr="00B14937">
        <w:rPr>
          <w:noProof/>
          <w:lang w:eastAsia="en-GB"/>
        </w:rPr>
        <w:drawing>
          <wp:inline distT="0" distB="0" distL="0" distR="0" wp14:anchorId="17BCC1BF" wp14:editId="3F618272">
            <wp:extent cx="5276215" cy="1637563"/>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215" cy="1637563"/>
                    </a:xfrm>
                    <a:prstGeom prst="rect">
                      <a:avLst/>
                    </a:prstGeom>
                    <a:noFill/>
                    <a:ln>
                      <a:noFill/>
                    </a:ln>
                  </pic:spPr>
                </pic:pic>
              </a:graphicData>
            </a:graphic>
          </wp:inline>
        </w:drawing>
      </w:r>
    </w:p>
    <w:p w:rsidR="00D372BF" w:rsidRDefault="00D372BF" w:rsidP="009151D2">
      <w:pPr>
        <w:tabs>
          <w:tab w:val="num" w:pos="1560"/>
        </w:tabs>
        <w:ind w:left="567"/>
        <w:jc w:val="both"/>
        <w:rPr>
          <w:rFonts w:cs="Arial"/>
          <w:szCs w:val="24"/>
        </w:rPr>
      </w:pPr>
    </w:p>
    <w:p w:rsidR="00B14937" w:rsidRDefault="00B14937" w:rsidP="009151D2">
      <w:pPr>
        <w:tabs>
          <w:tab w:val="num" w:pos="1560"/>
        </w:tabs>
        <w:ind w:left="567"/>
        <w:jc w:val="both"/>
        <w:rPr>
          <w:rFonts w:cs="Arial"/>
          <w:szCs w:val="24"/>
        </w:rPr>
      </w:pPr>
    </w:p>
    <w:p w:rsidR="008916DC" w:rsidRPr="00627675" w:rsidRDefault="007C49E5" w:rsidP="00D372BF">
      <w:pPr>
        <w:tabs>
          <w:tab w:val="num" w:pos="1560"/>
        </w:tabs>
        <w:ind w:left="567"/>
        <w:jc w:val="both"/>
        <w:rPr>
          <w:rFonts w:cs="Arial"/>
          <w:b/>
          <w:szCs w:val="24"/>
        </w:rPr>
      </w:pPr>
      <w:r w:rsidRPr="00627675">
        <w:rPr>
          <w:rFonts w:cs="Arial"/>
          <w:b/>
          <w:szCs w:val="24"/>
        </w:rPr>
        <w:t>Explanation for re-profiling</w:t>
      </w:r>
      <w:r w:rsidR="00B14937">
        <w:rPr>
          <w:rFonts w:cs="Arial"/>
          <w:b/>
          <w:szCs w:val="24"/>
        </w:rPr>
        <w:t xml:space="preserve"> of Capital Budgets</w:t>
      </w:r>
    </w:p>
    <w:p w:rsidR="00FA1D36" w:rsidRDefault="00FA1D36" w:rsidP="005B32A5">
      <w:pPr>
        <w:spacing w:after="120"/>
        <w:ind w:firstLine="567"/>
        <w:jc w:val="both"/>
        <w:rPr>
          <w:rFonts w:cs="Arial"/>
          <w:b/>
          <w:szCs w:val="24"/>
        </w:rPr>
      </w:pPr>
    </w:p>
    <w:p w:rsidR="00105B2C" w:rsidRPr="00105B2C" w:rsidRDefault="007C49E5" w:rsidP="005B32A5">
      <w:pPr>
        <w:spacing w:after="120"/>
        <w:ind w:firstLine="567"/>
        <w:jc w:val="both"/>
        <w:rPr>
          <w:rFonts w:cs="Arial"/>
          <w:b/>
          <w:szCs w:val="24"/>
        </w:rPr>
      </w:pPr>
      <w:r>
        <w:rPr>
          <w:rFonts w:cs="Arial"/>
          <w:b/>
          <w:szCs w:val="24"/>
        </w:rPr>
        <w:t>Schools</w:t>
      </w:r>
    </w:p>
    <w:p w:rsidR="006A7CB2" w:rsidRPr="006A7CB2" w:rsidRDefault="007510B9" w:rsidP="00D47AA9">
      <w:pPr>
        <w:pStyle w:val="ListParagraph"/>
        <w:numPr>
          <w:ilvl w:val="0"/>
          <w:numId w:val="27"/>
        </w:numPr>
        <w:tabs>
          <w:tab w:val="clear" w:pos="360"/>
          <w:tab w:val="num" w:pos="567"/>
        </w:tabs>
        <w:ind w:left="567" w:hanging="567"/>
        <w:rPr>
          <w:rFonts w:cs="Arial"/>
          <w:szCs w:val="24"/>
        </w:rPr>
      </w:pPr>
      <w:r w:rsidRPr="006A7CB2">
        <w:rPr>
          <w:rFonts w:cs="Arial"/>
          <w:szCs w:val="24"/>
        </w:rPr>
        <w:t>There has been re</w:t>
      </w:r>
      <w:r w:rsidR="006A7CB2">
        <w:rPr>
          <w:rFonts w:cs="Arial"/>
          <w:szCs w:val="24"/>
        </w:rPr>
        <w:t>-</w:t>
      </w:r>
      <w:r w:rsidRPr="006A7CB2">
        <w:rPr>
          <w:rFonts w:cs="Arial"/>
          <w:szCs w:val="24"/>
        </w:rPr>
        <w:t>profiling of a number of projects across</w:t>
      </w:r>
      <w:r w:rsidR="005B32A5" w:rsidRPr="006A7CB2">
        <w:rPr>
          <w:rFonts w:cs="Arial"/>
          <w:szCs w:val="24"/>
        </w:rPr>
        <w:t xml:space="preserve"> 2016/17 to 2019/20</w:t>
      </w:r>
      <w:r w:rsidR="006A7CB2">
        <w:rPr>
          <w:rFonts w:cs="Arial"/>
          <w:szCs w:val="24"/>
        </w:rPr>
        <w:t xml:space="preserve">. </w:t>
      </w:r>
      <w:r w:rsidR="006A7CB2" w:rsidRPr="006A7CB2">
        <w:rPr>
          <w:rFonts w:cs="Arial"/>
          <w:szCs w:val="24"/>
        </w:rPr>
        <w:t xml:space="preserve">The position with the school projections reported to Cabinet in July 2016, indicate that the demand for secondary school places is lower than previously expected and there will be a shortfall at a later stage than anticipated, from 2022. It is therefore proposed to slip </w:t>
      </w:r>
      <w:r w:rsidR="006A7CB2">
        <w:rPr>
          <w:rFonts w:cs="Arial"/>
          <w:szCs w:val="24"/>
        </w:rPr>
        <w:t>£5.250m</w:t>
      </w:r>
      <w:r w:rsidR="006A7CB2" w:rsidRPr="006A7CB2">
        <w:rPr>
          <w:rFonts w:cs="Arial"/>
          <w:szCs w:val="24"/>
        </w:rPr>
        <w:t xml:space="preserve"> of Secondary provision funding </w:t>
      </w:r>
      <w:r w:rsidR="006A7CB2">
        <w:rPr>
          <w:rFonts w:cs="Arial"/>
          <w:szCs w:val="24"/>
        </w:rPr>
        <w:t>from 2016-17 and 2017-18 into 2019-20.</w:t>
      </w:r>
      <w:r w:rsidR="006A7CB2" w:rsidRPr="006A7CB2">
        <w:rPr>
          <w:rFonts w:cs="Arial"/>
          <w:szCs w:val="24"/>
        </w:rPr>
        <w:t xml:space="preserve"> In addition £4.</w:t>
      </w:r>
      <w:r w:rsidR="006A7CB2">
        <w:rPr>
          <w:rFonts w:cs="Arial"/>
          <w:szCs w:val="24"/>
        </w:rPr>
        <w:t>2</w:t>
      </w:r>
      <w:r w:rsidR="006A7CB2" w:rsidRPr="006A7CB2">
        <w:rPr>
          <w:rFonts w:cs="Arial"/>
          <w:szCs w:val="24"/>
        </w:rPr>
        <w:t xml:space="preserve">m of SEN funding will also be slipped </w:t>
      </w:r>
      <w:r w:rsidR="006A7CB2">
        <w:rPr>
          <w:rFonts w:cs="Arial"/>
          <w:szCs w:val="24"/>
        </w:rPr>
        <w:t>from 2017-18 into 2018-19 and 2019-20</w:t>
      </w:r>
      <w:r w:rsidR="006A7CB2" w:rsidRPr="006A7CB2">
        <w:rPr>
          <w:rFonts w:cs="Arial"/>
          <w:szCs w:val="24"/>
        </w:rPr>
        <w:t xml:space="preserve"> as this programme is still </w:t>
      </w:r>
      <w:r w:rsidR="006A7CB2">
        <w:rPr>
          <w:rFonts w:cs="Arial"/>
          <w:szCs w:val="24"/>
        </w:rPr>
        <w:t>being developed</w:t>
      </w:r>
      <w:r w:rsidR="006A7CB2" w:rsidRPr="006A7CB2">
        <w:rPr>
          <w:rFonts w:cs="Arial"/>
          <w:szCs w:val="24"/>
        </w:rPr>
        <w:t>.</w:t>
      </w:r>
    </w:p>
    <w:p w:rsidR="007510B9" w:rsidRPr="007510B9" w:rsidRDefault="007510B9" w:rsidP="007F4BDA">
      <w:pPr>
        <w:tabs>
          <w:tab w:val="num" w:pos="1985"/>
        </w:tabs>
        <w:spacing w:after="240"/>
        <w:ind w:left="567"/>
        <w:jc w:val="both"/>
        <w:rPr>
          <w:rFonts w:cs="Arial"/>
          <w:szCs w:val="24"/>
        </w:rPr>
      </w:pPr>
    </w:p>
    <w:p w:rsidR="00DF0973" w:rsidRDefault="005B32A5" w:rsidP="005B32A5">
      <w:pPr>
        <w:tabs>
          <w:tab w:val="left" w:pos="567"/>
        </w:tabs>
        <w:jc w:val="both"/>
        <w:rPr>
          <w:rFonts w:cs="Arial"/>
          <w:b/>
          <w:szCs w:val="24"/>
        </w:rPr>
      </w:pPr>
      <w:r>
        <w:rPr>
          <w:rFonts w:cs="Arial"/>
          <w:b/>
          <w:szCs w:val="24"/>
        </w:rPr>
        <w:tab/>
      </w:r>
      <w:r w:rsidR="007C49E5">
        <w:rPr>
          <w:rFonts w:cs="Arial"/>
          <w:b/>
          <w:szCs w:val="24"/>
        </w:rPr>
        <w:t>Environmental Services</w:t>
      </w:r>
    </w:p>
    <w:p w:rsidR="00DF0973" w:rsidRDefault="00DF0973" w:rsidP="00662C0B">
      <w:pPr>
        <w:numPr>
          <w:ilvl w:val="0"/>
          <w:numId w:val="27"/>
        </w:numPr>
        <w:tabs>
          <w:tab w:val="clear" w:pos="360"/>
          <w:tab w:val="num" w:pos="567"/>
        </w:tabs>
        <w:spacing w:after="120"/>
        <w:ind w:left="567" w:hanging="567"/>
        <w:jc w:val="both"/>
        <w:rPr>
          <w:rFonts w:cs="Arial"/>
          <w:szCs w:val="24"/>
        </w:rPr>
      </w:pPr>
      <w:r w:rsidRPr="00662C0B">
        <w:rPr>
          <w:rFonts w:cs="Arial"/>
          <w:szCs w:val="24"/>
        </w:rPr>
        <w:t>The</w:t>
      </w:r>
      <w:r w:rsidR="007C49E5">
        <w:rPr>
          <w:rFonts w:cs="Arial"/>
          <w:szCs w:val="24"/>
        </w:rPr>
        <w:t xml:space="preserve">re </w:t>
      </w:r>
      <w:r w:rsidR="00A82C85">
        <w:rPr>
          <w:rFonts w:cs="Arial"/>
          <w:szCs w:val="24"/>
        </w:rPr>
        <w:t xml:space="preserve">are proposed amendments of </w:t>
      </w:r>
      <w:r w:rsidR="007C49E5">
        <w:rPr>
          <w:rFonts w:cs="Arial"/>
          <w:szCs w:val="24"/>
        </w:rPr>
        <w:t xml:space="preserve"> £1.6m </w:t>
      </w:r>
      <w:r w:rsidR="00315E65">
        <w:rPr>
          <w:rFonts w:cs="Arial"/>
          <w:szCs w:val="24"/>
        </w:rPr>
        <w:t xml:space="preserve">as follows: </w:t>
      </w:r>
    </w:p>
    <w:p w:rsidR="003D609A" w:rsidRPr="003D609A" w:rsidRDefault="00315E65" w:rsidP="003D609A">
      <w:pPr>
        <w:pStyle w:val="ListParagraph"/>
        <w:numPr>
          <w:ilvl w:val="0"/>
          <w:numId w:val="37"/>
        </w:numPr>
        <w:spacing w:after="120"/>
        <w:jc w:val="both"/>
        <w:rPr>
          <w:rFonts w:cs="Arial"/>
          <w:b/>
          <w:szCs w:val="24"/>
        </w:rPr>
      </w:pPr>
      <w:r w:rsidRPr="003D609A">
        <w:rPr>
          <w:rFonts w:cs="Arial"/>
        </w:rPr>
        <w:t>Street lighting</w:t>
      </w:r>
      <w:r w:rsidR="003D609A">
        <w:rPr>
          <w:rFonts w:cs="Arial"/>
        </w:rPr>
        <w:t xml:space="preserve"> – the programme</w:t>
      </w:r>
      <w:r w:rsidRPr="003D609A">
        <w:rPr>
          <w:rFonts w:cs="Arial"/>
        </w:rPr>
        <w:t xml:space="preserve"> is being accelerated to replace old lamp columns  with LED lights to achieve revenue savings on energy and maintenance. The existing </w:t>
      </w:r>
      <w:r w:rsidR="003D609A" w:rsidRPr="003D609A">
        <w:rPr>
          <w:rFonts w:cs="Arial"/>
        </w:rPr>
        <w:t xml:space="preserve">street lighting </w:t>
      </w:r>
      <w:r w:rsidRPr="003D609A">
        <w:rPr>
          <w:rFonts w:cs="Arial"/>
        </w:rPr>
        <w:t xml:space="preserve">£500k budget is being brought forward into 2017/18 from 2019/20.  However, </w:t>
      </w:r>
      <w:r w:rsidR="003D609A" w:rsidRPr="003D609A">
        <w:rPr>
          <w:rFonts w:cs="Arial"/>
        </w:rPr>
        <w:t xml:space="preserve">it is </w:t>
      </w:r>
      <w:r w:rsidR="00FA1D36">
        <w:rPr>
          <w:rFonts w:cs="Arial"/>
        </w:rPr>
        <w:t xml:space="preserve">also </w:t>
      </w:r>
      <w:r w:rsidR="003D609A" w:rsidRPr="003D609A">
        <w:rPr>
          <w:rFonts w:cs="Arial"/>
        </w:rPr>
        <w:t xml:space="preserve">proposed that </w:t>
      </w:r>
      <w:r w:rsidR="00FA1D36">
        <w:rPr>
          <w:rFonts w:cs="Arial"/>
        </w:rPr>
        <w:t xml:space="preserve">a further </w:t>
      </w:r>
      <w:r w:rsidR="003D609A" w:rsidRPr="003D609A">
        <w:rPr>
          <w:rFonts w:cs="Arial"/>
        </w:rPr>
        <w:t xml:space="preserve">£1m  </w:t>
      </w:r>
      <w:r w:rsidR="003D609A">
        <w:rPr>
          <w:rFonts w:cs="Arial"/>
        </w:rPr>
        <w:t xml:space="preserve">is re-allocated from the Highway Programme to Street Lighting in 2019/20. Significant investments in Highway Programme over the last couple of years and in </w:t>
      </w:r>
      <w:r w:rsidR="00D47AA9">
        <w:rPr>
          <w:rFonts w:cs="Arial"/>
        </w:rPr>
        <w:t xml:space="preserve">the current </w:t>
      </w:r>
      <w:r w:rsidR="003D609A">
        <w:rPr>
          <w:rFonts w:cs="Arial"/>
        </w:rPr>
        <w:t xml:space="preserve">year provide an opportunity to reduce capital spend in this area in 2019/20. </w:t>
      </w:r>
    </w:p>
    <w:p w:rsidR="003D609A" w:rsidRPr="003D609A" w:rsidRDefault="003D609A" w:rsidP="003D609A">
      <w:pPr>
        <w:pStyle w:val="ListParagraph"/>
        <w:spacing w:after="120"/>
        <w:jc w:val="both"/>
        <w:rPr>
          <w:rFonts w:cs="Arial"/>
          <w:b/>
          <w:szCs w:val="24"/>
        </w:rPr>
      </w:pPr>
      <w:r>
        <w:rPr>
          <w:rFonts w:cs="Arial"/>
        </w:rPr>
        <w:t xml:space="preserve"> </w:t>
      </w:r>
    </w:p>
    <w:p w:rsidR="003D609A" w:rsidRPr="00D47AA9" w:rsidRDefault="003D609A" w:rsidP="003D609A">
      <w:pPr>
        <w:pStyle w:val="ListParagraph"/>
        <w:numPr>
          <w:ilvl w:val="0"/>
          <w:numId w:val="37"/>
        </w:numPr>
        <w:spacing w:after="120"/>
        <w:jc w:val="both"/>
        <w:rPr>
          <w:rFonts w:cs="Arial"/>
          <w:b/>
          <w:szCs w:val="24"/>
        </w:rPr>
      </w:pPr>
      <w:r>
        <w:rPr>
          <w:rFonts w:cs="Arial"/>
        </w:rPr>
        <w:t>A number of commercial projects under Phoenix are underway. A number of unused/underused parks buildings are being converted to generate rental income. It is anticipated that more parks buildings will be refurbished during 2017/18 and therefore a re-allocation of £200k to Parks Infrastructure from the Highway maintenance programme is proposed.</w:t>
      </w:r>
    </w:p>
    <w:p w:rsidR="00D47AA9" w:rsidRPr="003D609A" w:rsidRDefault="00D47AA9" w:rsidP="00D47AA9">
      <w:pPr>
        <w:pStyle w:val="ListParagraph"/>
        <w:spacing w:after="120"/>
        <w:jc w:val="both"/>
        <w:rPr>
          <w:rFonts w:cs="Arial"/>
          <w:b/>
          <w:szCs w:val="24"/>
        </w:rPr>
      </w:pPr>
    </w:p>
    <w:p w:rsidR="00DF0973" w:rsidRPr="003D609A" w:rsidRDefault="005B32A5" w:rsidP="003D609A">
      <w:pPr>
        <w:spacing w:after="120"/>
        <w:ind w:firstLine="567"/>
        <w:jc w:val="both"/>
        <w:rPr>
          <w:rFonts w:cs="Arial"/>
          <w:b/>
          <w:szCs w:val="24"/>
        </w:rPr>
      </w:pPr>
      <w:r w:rsidRPr="003D609A">
        <w:rPr>
          <w:rFonts w:cs="Arial"/>
          <w:b/>
          <w:szCs w:val="24"/>
        </w:rPr>
        <w:t>Cultural Services</w:t>
      </w:r>
    </w:p>
    <w:p w:rsidR="00D47AA9" w:rsidRPr="00D47AA9" w:rsidRDefault="005B32A5" w:rsidP="00D47AA9">
      <w:pPr>
        <w:numPr>
          <w:ilvl w:val="0"/>
          <w:numId w:val="27"/>
        </w:numPr>
        <w:tabs>
          <w:tab w:val="clear" w:pos="360"/>
        </w:tabs>
        <w:spacing w:after="120"/>
        <w:ind w:left="567" w:hanging="567"/>
        <w:jc w:val="both"/>
        <w:rPr>
          <w:rFonts w:cs="Arial"/>
          <w:szCs w:val="24"/>
        </w:rPr>
      </w:pPr>
      <w:r>
        <w:rPr>
          <w:rFonts w:cs="Arial"/>
          <w:szCs w:val="24"/>
        </w:rPr>
        <w:t xml:space="preserve">There is £1.004m which has been </w:t>
      </w:r>
      <w:proofErr w:type="spellStart"/>
      <w:r>
        <w:rPr>
          <w:rFonts w:cs="Arial"/>
          <w:szCs w:val="24"/>
        </w:rPr>
        <w:t>reprofiled</w:t>
      </w:r>
      <w:proofErr w:type="spellEnd"/>
      <w:r>
        <w:rPr>
          <w:rFonts w:cs="Arial"/>
          <w:szCs w:val="24"/>
        </w:rPr>
        <w:t xml:space="preserve"> </w:t>
      </w:r>
      <w:r w:rsidR="00D47AA9">
        <w:rPr>
          <w:rFonts w:cs="Arial"/>
          <w:szCs w:val="24"/>
        </w:rPr>
        <w:t>between</w:t>
      </w:r>
      <w:r>
        <w:rPr>
          <w:rFonts w:cs="Arial"/>
          <w:szCs w:val="24"/>
        </w:rPr>
        <w:t xml:space="preserve"> 2016/17 to  2018/19 in relation to the Bannister Sports Centre project. </w:t>
      </w:r>
      <w:r w:rsidR="00D47AA9" w:rsidRPr="00D47AA9">
        <w:rPr>
          <w:rFonts w:cs="Arial"/>
          <w:szCs w:val="24"/>
        </w:rPr>
        <w:t>S</w:t>
      </w:r>
      <w:r w:rsidR="00D47AA9">
        <w:rPr>
          <w:rFonts w:cs="Arial"/>
          <w:szCs w:val="24"/>
        </w:rPr>
        <w:t xml:space="preserve">ection </w:t>
      </w:r>
      <w:r w:rsidR="00D47AA9" w:rsidRPr="00D47AA9">
        <w:rPr>
          <w:rFonts w:cs="Arial"/>
          <w:szCs w:val="24"/>
        </w:rPr>
        <w:t xml:space="preserve">106 </w:t>
      </w:r>
      <w:r w:rsidR="00D47AA9" w:rsidRPr="00D47AA9">
        <w:rPr>
          <w:rFonts w:cs="Arial"/>
          <w:szCs w:val="24"/>
        </w:rPr>
        <w:lastRenderedPageBreak/>
        <w:t xml:space="preserve">funding of £1m has recently been received as part of </w:t>
      </w:r>
      <w:r w:rsidR="00D47AA9">
        <w:rPr>
          <w:rFonts w:cs="Arial"/>
          <w:szCs w:val="24"/>
        </w:rPr>
        <w:t xml:space="preserve">the </w:t>
      </w:r>
      <w:r w:rsidR="00D47AA9" w:rsidRPr="00D47AA9">
        <w:rPr>
          <w:rFonts w:cs="Arial"/>
          <w:szCs w:val="24"/>
        </w:rPr>
        <w:t xml:space="preserve">Kodak site redevelopment, for improvements at Bannister Sports Centre to compensate for the loss of playing pitches. The intention is to use this funding as match funding for other external funding applications. Feasibility studies and the development of building plans will be required before progressing to construction works, and it is anticipated that the majority of S106 funding will not be spent until 2018/19. It is therefore proposed that the budget is re-profiled as follows: £50k in 2016/17; £50k in 2017/18 and £904k in 2018/19 respectively. </w:t>
      </w:r>
    </w:p>
    <w:p w:rsidR="00FA1D36" w:rsidRDefault="00FA1D36" w:rsidP="00105B2C">
      <w:pPr>
        <w:spacing w:after="240"/>
        <w:ind w:left="567" w:hanging="567"/>
        <w:jc w:val="both"/>
        <w:rPr>
          <w:rFonts w:cs="Arial"/>
          <w:b/>
          <w:szCs w:val="24"/>
        </w:rPr>
      </w:pPr>
    </w:p>
    <w:p w:rsidR="00105B2C" w:rsidRPr="00105B2C" w:rsidRDefault="006D68FB" w:rsidP="00105B2C">
      <w:pPr>
        <w:spacing w:after="240"/>
        <w:ind w:left="567" w:hanging="567"/>
        <w:jc w:val="both"/>
        <w:rPr>
          <w:rFonts w:cs="Arial"/>
          <w:b/>
          <w:szCs w:val="24"/>
        </w:rPr>
      </w:pPr>
      <w:r>
        <w:rPr>
          <w:rFonts w:cs="Arial"/>
          <w:b/>
          <w:szCs w:val="24"/>
        </w:rPr>
        <w:t>HOUSING REVENUE ACCOUNT</w:t>
      </w:r>
      <w:r w:rsidR="00105B2C" w:rsidRPr="00105B2C">
        <w:rPr>
          <w:rFonts w:cs="Arial"/>
          <w:b/>
          <w:szCs w:val="24"/>
        </w:rPr>
        <w:t xml:space="preserve"> (HRA)</w:t>
      </w:r>
    </w:p>
    <w:p w:rsidR="00480518" w:rsidRPr="00480518" w:rsidRDefault="00105B2C" w:rsidP="00480518">
      <w:pPr>
        <w:numPr>
          <w:ilvl w:val="0"/>
          <w:numId w:val="27"/>
        </w:numPr>
        <w:tabs>
          <w:tab w:val="clear" w:pos="360"/>
          <w:tab w:val="num" w:pos="1418"/>
          <w:tab w:val="num" w:pos="1843"/>
        </w:tabs>
        <w:spacing w:after="240"/>
        <w:ind w:left="567" w:hanging="567"/>
        <w:jc w:val="both"/>
      </w:pPr>
      <w:r w:rsidRPr="00E23647">
        <w:rPr>
          <w:rFonts w:cs="Arial"/>
          <w:szCs w:val="24"/>
        </w:rPr>
        <w:t xml:space="preserve">The </w:t>
      </w:r>
      <w:r w:rsidR="00BC19E9" w:rsidRPr="00E23647">
        <w:rPr>
          <w:rFonts w:cs="Arial"/>
          <w:szCs w:val="24"/>
        </w:rPr>
        <w:t xml:space="preserve">proposed </w:t>
      </w:r>
      <w:r w:rsidRPr="00E23647">
        <w:rPr>
          <w:rFonts w:cs="Arial"/>
          <w:szCs w:val="24"/>
        </w:rPr>
        <w:t>HRA Capital Programme is detailed in a separate report to Cabinet elsewhere on this agenda.</w:t>
      </w:r>
      <w:r w:rsidR="00E23647" w:rsidRPr="00E23647">
        <w:rPr>
          <w:rFonts w:cs="Arial"/>
          <w:szCs w:val="24"/>
        </w:rPr>
        <w:t xml:space="preserve">  Any implications from the HRA Capital Programme are funded from the Housing Revenue Account and do not impact upon the General Fund Budget.</w:t>
      </w:r>
    </w:p>
    <w:p w:rsidR="00480518" w:rsidRPr="00480518" w:rsidRDefault="00480518" w:rsidP="00FF590B">
      <w:pPr>
        <w:tabs>
          <w:tab w:val="num" w:pos="2127"/>
        </w:tabs>
        <w:spacing w:after="120"/>
        <w:outlineLvl w:val="1"/>
        <w:rPr>
          <w:rFonts w:cs="Arial"/>
          <w:b/>
          <w:bCs/>
          <w:sz w:val="28"/>
          <w:szCs w:val="32"/>
        </w:rPr>
      </w:pPr>
      <w:r w:rsidRPr="00480518">
        <w:rPr>
          <w:rFonts w:cs="Arial"/>
          <w:b/>
          <w:bCs/>
          <w:sz w:val="28"/>
          <w:szCs w:val="32"/>
        </w:rPr>
        <w:t xml:space="preserve">Options considered </w:t>
      </w:r>
    </w:p>
    <w:p w:rsidR="00480518" w:rsidRPr="00480518" w:rsidRDefault="001F44EC" w:rsidP="00FF590B">
      <w:pPr>
        <w:numPr>
          <w:ilvl w:val="0"/>
          <w:numId w:val="27"/>
        </w:numPr>
        <w:tabs>
          <w:tab w:val="clear" w:pos="360"/>
          <w:tab w:val="num" w:pos="2268"/>
        </w:tabs>
        <w:ind w:left="709" w:hanging="709"/>
        <w:jc w:val="both"/>
        <w:rPr>
          <w:rFonts w:cs="Arial"/>
          <w:szCs w:val="24"/>
        </w:rPr>
      </w:pPr>
      <w:r>
        <w:t>A number of capital proposals are considered during the budget setting process.</w:t>
      </w:r>
    </w:p>
    <w:p w:rsidR="00480518" w:rsidRPr="00480518" w:rsidRDefault="00480518" w:rsidP="00480518"/>
    <w:p w:rsidR="00480518" w:rsidRPr="00480518" w:rsidRDefault="00480518" w:rsidP="00480518">
      <w:pPr>
        <w:spacing w:after="120"/>
        <w:outlineLvl w:val="1"/>
        <w:rPr>
          <w:rFonts w:cs="Arial"/>
          <w:b/>
          <w:bCs/>
          <w:sz w:val="28"/>
          <w:szCs w:val="32"/>
        </w:rPr>
      </w:pPr>
      <w:r w:rsidRPr="00480518">
        <w:rPr>
          <w:rFonts w:cs="Arial"/>
          <w:b/>
          <w:bCs/>
          <w:sz w:val="28"/>
          <w:szCs w:val="32"/>
        </w:rPr>
        <w:t>Legal Implications</w:t>
      </w:r>
    </w:p>
    <w:p w:rsidR="00480518" w:rsidRDefault="00480518" w:rsidP="00FF590B">
      <w:pPr>
        <w:numPr>
          <w:ilvl w:val="0"/>
          <w:numId w:val="27"/>
        </w:numPr>
        <w:tabs>
          <w:tab w:val="clear" w:pos="360"/>
          <w:tab w:val="num" w:pos="2268"/>
        </w:tabs>
        <w:ind w:left="709" w:hanging="709"/>
        <w:jc w:val="both"/>
      </w:pPr>
      <w:r w:rsidRPr="00480518">
        <w:t xml:space="preserve">Under the Financial Regulations paragraph B2 full council is responsible for agreeing the authorities policy framework which are proposed by the cabinet </w:t>
      </w:r>
      <w:r w:rsidR="00D15CFA">
        <w:t xml:space="preserve">and </w:t>
      </w:r>
      <w:r w:rsidRPr="00480518">
        <w:t>this includes the capital programme.</w:t>
      </w:r>
      <w:r w:rsidR="00FA1D36">
        <w:t xml:space="preserve"> Under B41 the Director of Finance is responsible for producing an annual capital strategy for Cabinet to recommend to Council.</w:t>
      </w:r>
    </w:p>
    <w:p w:rsidR="000C14C9" w:rsidRPr="00480518" w:rsidRDefault="000C14C9" w:rsidP="000C14C9">
      <w:pPr>
        <w:ind w:left="709"/>
        <w:jc w:val="both"/>
      </w:pPr>
    </w:p>
    <w:p w:rsidR="00480518" w:rsidRPr="00480518" w:rsidRDefault="00480518" w:rsidP="00480518">
      <w:pPr>
        <w:spacing w:after="120"/>
        <w:outlineLvl w:val="1"/>
        <w:rPr>
          <w:rFonts w:cs="Arial"/>
          <w:b/>
          <w:bCs/>
          <w:sz w:val="28"/>
          <w:szCs w:val="32"/>
        </w:rPr>
      </w:pPr>
      <w:r w:rsidRPr="00480518">
        <w:rPr>
          <w:rFonts w:cs="Arial"/>
          <w:b/>
          <w:bCs/>
          <w:sz w:val="28"/>
          <w:szCs w:val="32"/>
        </w:rPr>
        <w:t>Financial Implications</w:t>
      </w:r>
    </w:p>
    <w:p w:rsidR="00480518" w:rsidRPr="00480518" w:rsidRDefault="00480518" w:rsidP="00FF590B">
      <w:pPr>
        <w:numPr>
          <w:ilvl w:val="0"/>
          <w:numId w:val="27"/>
        </w:numPr>
        <w:tabs>
          <w:tab w:val="clear" w:pos="360"/>
          <w:tab w:val="num" w:pos="2268"/>
        </w:tabs>
        <w:ind w:left="709" w:hanging="709"/>
        <w:jc w:val="both"/>
        <w:rPr>
          <w:rFonts w:cs="Arial"/>
          <w:szCs w:val="24"/>
        </w:rPr>
      </w:pPr>
      <w:r w:rsidRPr="00480518">
        <w:rPr>
          <w:rFonts w:cs="Arial"/>
          <w:szCs w:val="24"/>
        </w:rPr>
        <w:t>Financial matters are integral to the report.</w:t>
      </w:r>
      <w:r w:rsidR="00D47AA9">
        <w:rPr>
          <w:rFonts w:cs="Arial"/>
          <w:szCs w:val="24"/>
        </w:rPr>
        <w:t xml:space="preserve">  The capital financing costs of all capital proposals must be included in the revenue budget. </w:t>
      </w:r>
    </w:p>
    <w:p w:rsidR="00480518" w:rsidRPr="00480518" w:rsidRDefault="00480518" w:rsidP="00480518"/>
    <w:p w:rsidR="00480518" w:rsidRPr="00480518" w:rsidRDefault="00480518" w:rsidP="00480518">
      <w:pPr>
        <w:spacing w:after="120"/>
        <w:outlineLvl w:val="1"/>
        <w:rPr>
          <w:rFonts w:cs="Arial"/>
          <w:b/>
          <w:bCs/>
          <w:sz w:val="28"/>
          <w:szCs w:val="32"/>
        </w:rPr>
      </w:pPr>
      <w:r w:rsidRPr="00480518">
        <w:rPr>
          <w:rFonts w:cs="Arial"/>
          <w:b/>
          <w:bCs/>
          <w:sz w:val="28"/>
          <w:szCs w:val="32"/>
        </w:rPr>
        <w:t>Performance Issues</w:t>
      </w:r>
    </w:p>
    <w:p w:rsidR="00480518" w:rsidRPr="00480518" w:rsidRDefault="00480518" w:rsidP="00FF590B">
      <w:pPr>
        <w:numPr>
          <w:ilvl w:val="0"/>
          <w:numId w:val="27"/>
        </w:numPr>
        <w:tabs>
          <w:tab w:val="clear" w:pos="360"/>
          <w:tab w:val="num" w:pos="2268"/>
        </w:tabs>
        <w:ind w:left="709" w:hanging="709"/>
        <w:jc w:val="both"/>
        <w:rPr>
          <w:rFonts w:cs="Arial"/>
          <w:szCs w:val="24"/>
        </w:rPr>
      </w:pPr>
      <w:r w:rsidRPr="00480518">
        <w:rPr>
          <w:rFonts w:cs="Arial"/>
          <w:szCs w:val="24"/>
        </w:rPr>
        <w:t>The capital programme proposed represents a significant investment by the Council in infrastructure.  This will have an impact on a range of performance indicators across the Council’s services.</w:t>
      </w:r>
    </w:p>
    <w:p w:rsidR="00480518" w:rsidRPr="00480518" w:rsidRDefault="00480518" w:rsidP="00480518">
      <w:pPr>
        <w:ind w:left="567" w:hanging="567"/>
        <w:jc w:val="both"/>
        <w:rPr>
          <w:rFonts w:cs="Arial"/>
          <w:szCs w:val="24"/>
          <w:highlight w:val="green"/>
        </w:rPr>
      </w:pPr>
    </w:p>
    <w:p w:rsidR="00480518" w:rsidRDefault="007F4BDA" w:rsidP="00480518">
      <w:pPr>
        <w:numPr>
          <w:ilvl w:val="0"/>
          <w:numId w:val="27"/>
        </w:numPr>
        <w:tabs>
          <w:tab w:val="clear" w:pos="360"/>
          <w:tab w:val="num" w:pos="2268"/>
        </w:tabs>
        <w:ind w:left="567" w:hanging="567"/>
        <w:jc w:val="both"/>
        <w:rPr>
          <w:rFonts w:cs="Arial"/>
          <w:szCs w:val="24"/>
        </w:rPr>
      </w:pPr>
      <w:r>
        <w:rPr>
          <w:rFonts w:cs="Arial"/>
          <w:szCs w:val="24"/>
        </w:rPr>
        <w:t xml:space="preserve"> </w:t>
      </w:r>
      <w:r w:rsidR="00480518" w:rsidRPr="007F4BDA">
        <w:rPr>
          <w:rFonts w:cs="Arial"/>
          <w:szCs w:val="24"/>
        </w:rPr>
        <w:t xml:space="preserve">Monitoring of the approved programme, is ongoing and is essential for </w:t>
      </w:r>
      <w:r>
        <w:rPr>
          <w:rFonts w:cs="Arial"/>
          <w:szCs w:val="24"/>
        </w:rPr>
        <w:t xml:space="preserve">  </w:t>
      </w:r>
      <w:r w:rsidR="00480518" w:rsidRPr="007F4BDA">
        <w:rPr>
          <w:rFonts w:cs="Arial"/>
          <w:szCs w:val="24"/>
        </w:rPr>
        <w:t xml:space="preserve">good financial management. </w:t>
      </w:r>
    </w:p>
    <w:p w:rsidR="007F4BDA" w:rsidRDefault="007F4BDA" w:rsidP="007F4BDA">
      <w:pPr>
        <w:pStyle w:val="ListParagraph"/>
        <w:rPr>
          <w:rFonts w:cs="Arial"/>
          <w:szCs w:val="24"/>
        </w:rPr>
      </w:pPr>
    </w:p>
    <w:p w:rsidR="00480518" w:rsidRPr="00480518" w:rsidRDefault="00480518" w:rsidP="00FF590B">
      <w:pPr>
        <w:numPr>
          <w:ilvl w:val="0"/>
          <w:numId w:val="27"/>
        </w:numPr>
        <w:tabs>
          <w:tab w:val="clear" w:pos="360"/>
          <w:tab w:val="num" w:pos="2268"/>
        </w:tabs>
        <w:ind w:left="709" w:hanging="709"/>
        <w:jc w:val="both"/>
        <w:rPr>
          <w:b/>
          <w:color w:val="0000FF"/>
          <w:sz w:val="28"/>
          <w:szCs w:val="28"/>
        </w:rPr>
      </w:pPr>
      <w:r w:rsidRPr="00480518">
        <w:t xml:space="preserve">It is proposed that a performance target is set of 90% of the approved budget </w:t>
      </w:r>
      <w:r w:rsidR="00D15CFA">
        <w:t>to be spent in year</w:t>
      </w:r>
      <w:r w:rsidRPr="00480518">
        <w:t>.  Having approved an investment programme it is important that the programme is then substantially delivered in the planned timeframe, in line with member priorities.</w:t>
      </w:r>
    </w:p>
    <w:p w:rsidR="00480518" w:rsidRPr="00480518" w:rsidRDefault="00480518" w:rsidP="00480518">
      <w:pPr>
        <w:ind w:left="567" w:hanging="567"/>
        <w:rPr>
          <w:color w:val="FF0000"/>
        </w:rPr>
      </w:pPr>
    </w:p>
    <w:p w:rsidR="00480518" w:rsidRPr="00480518" w:rsidRDefault="00480518" w:rsidP="00480518">
      <w:pPr>
        <w:spacing w:after="120"/>
        <w:ind w:left="567" w:hanging="567"/>
        <w:outlineLvl w:val="1"/>
        <w:rPr>
          <w:rFonts w:cs="Arial"/>
          <w:b/>
          <w:bCs/>
          <w:sz w:val="28"/>
          <w:szCs w:val="32"/>
        </w:rPr>
      </w:pPr>
      <w:r w:rsidRPr="00480518">
        <w:rPr>
          <w:rFonts w:cs="Arial"/>
          <w:b/>
          <w:bCs/>
          <w:sz w:val="28"/>
          <w:szCs w:val="32"/>
        </w:rPr>
        <w:t>Risk Management Implications</w:t>
      </w:r>
    </w:p>
    <w:p w:rsidR="00480518" w:rsidRPr="00480518" w:rsidRDefault="00480518" w:rsidP="00FF590B">
      <w:pPr>
        <w:numPr>
          <w:ilvl w:val="0"/>
          <w:numId w:val="27"/>
        </w:numPr>
        <w:tabs>
          <w:tab w:val="clear" w:pos="360"/>
          <w:tab w:val="num" w:pos="2268"/>
        </w:tabs>
        <w:ind w:left="709" w:hanging="709"/>
        <w:jc w:val="both"/>
        <w:rPr>
          <w:rFonts w:cs="Arial"/>
          <w:szCs w:val="24"/>
        </w:rPr>
      </w:pPr>
      <w:r w:rsidRPr="00480518">
        <w:rPr>
          <w:rFonts w:cs="Arial"/>
          <w:szCs w:val="24"/>
        </w:rPr>
        <w:t xml:space="preserve">The individual schemes within the programme will either be incorporated within departmental registers or have individual registers. A significant consideration in developing the programme has been the </w:t>
      </w:r>
      <w:r w:rsidRPr="00480518">
        <w:rPr>
          <w:rFonts w:cs="Arial"/>
          <w:szCs w:val="24"/>
        </w:rPr>
        <w:lastRenderedPageBreak/>
        <w:t>risks arising from not keeping our infrastructure in good order.  Not doing so would lead to an increase in health and safety risks and additional costs in replacing assets when they deteriorate too much to repair.</w:t>
      </w:r>
    </w:p>
    <w:p w:rsidR="00480518" w:rsidRPr="00480518" w:rsidRDefault="00480518" w:rsidP="00480518">
      <w:pPr>
        <w:ind w:left="567" w:right="141" w:hanging="567"/>
        <w:rPr>
          <w:rFonts w:cs="Arial"/>
          <w:szCs w:val="24"/>
        </w:rPr>
      </w:pPr>
    </w:p>
    <w:p w:rsidR="00480518" w:rsidRPr="00480518" w:rsidRDefault="00480518" w:rsidP="00480518">
      <w:pPr>
        <w:keepNext/>
        <w:spacing w:after="120"/>
        <w:ind w:left="567" w:hanging="567"/>
        <w:outlineLvl w:val="1"/>
        <w:rPr>
          <w:rFonts w:cs="Arial"/>
          <w:b/>
          <w:bCs/>
          <w:color w:val="FF0000"/>
          <w:sz w:val="28"/>
          <w:szCs w:val="32"/>
        </w:rPr>
      </w:pPr>
      <w:r w:rsidRPr="00480518">
        <w:rPr>
          <w:rFonts w:cs="Arial"/>
          <w:b/>
          <w:bCs/>
          <w:sz w:val="28"/>
          <w:szCs w:val="32"/>
        </w:rPr>
        <w:t>Equalities implications / Public Sector Equality Duty</w:t>
      </w:r>
    </w:p>
    <w:p w:rsidR="00480518" w:rsidRPr="00480518" w:rsidRDefault="00480518" w:rsidP="00480518">
      <w:pPr>
        <w:ind w:left="567" w:hanging="567"/>
      </w:pPr>
    </w:p>
    <w:p w:rsidR="00480518" w:rsidRPr="00480518" w:rsidRDefault="00480518" w:rsidP="00FF590B">
      <w:pPr>
        <w:numPr>
          <w:ilvl w:val="0"/>
          <w:numId w:val="27"/>
        </w:numPr>
        <w:tabs>
          <w:tab w:val="clear" w:pos="360"/>
          <w:tab w:val="num" w:pos="2268"/>
        </w:tabs>
        <w:ind w:left="709" w:hanging="709"/>
        <w:jc w:val="both"/>
        <w:rPr>
          <w:rFonts w:cs="Arial"/>
          <w:szCs w:val="24"/>
        </w:rPr>
      </w:pPr>
      <w:r w:rsidRPr="00480518">
        <w:rPr>
          <w:rFonts w:cs="Arial"/>
          <w:szCs w:val="24"/>
        </w:rPr>
        <w:t>One of the aims of the Capital Strategy is to ensure the responsible allocation of funding in line with the Council’s priorities and legislative requirements such as equalities legislation. Equalities implications form part of the way that the projects are prioritised.  The officer’s initial views are that no protected group is adversely affected by the proposals.  A number of the projects proposed in the programme will require full Equality Impact Assessments before they commence. Following consultation the impact will be further reviewed before the programme is finalised.</w:t>
      </w:r>
    </w:p>
    <w:p w:rsidR="00480518" w:rsidRPr="00480518" w:rsidRDefault="00480518" w:rsidP="00480518">
      <w:pPr>
        <w:tabs>
          <w:tab w:val="left" w:pos="6150"/>
        </w:tabs>
        <w:ind w:left="567" w:hanging="567"/>
        <w:jc w:val="both"/>
      </w:pPr>
      <w:r w:rsidRPr="00480518">
        <w:tab/>
      </w:r>
    </w:p>
    <w:p w:rsidR="00480518" w:rsidRPr="00480518" w:rsidRDefault="00480518" w:rsidP="00FF590B">
      <w:pPr>
        <w:numPr>
          <w:ilvl w:val="0"/>
          <w:numId w:val="27"/>
        </w:numPr>
        <w:tabs>
          <w:tab w:val="clear" w:pos="360"/>
          <w:tab w:val="num" w:pos="2268"/>
        </w:tabs>
        <w:ind w:left="709" w:hanging="709"/>
        <w:jc w:val="both"/>
        <w:rPr>
          <w:rFonts w:cs="Arial"/>
          <w:szCs w:val="24"/>
        </w:rPr>
      </w:pPr>
      <w:r w:rsidRPr="00480518">
        <w:rPr>
          <w:rFonts w:cs="Arial"/>
          <w:szCs w:val="24"/>
        </w:rPr>
        <w:t>Decision makers should have due regard to the public sector equality duty in making their decisions. Consideration of the duties should precede the decision. It is important that Cabinet has regard to the statutory grounds in the light of all available material such as material in the press and letters from residents. The statutory grounds of the public sector equality duty are found at section 149 of the Equality Act 2010 and are as follows:</w:t>
      </w:r>
    </w:p>
    <w:p w:rsidR="00480518" w:rsidRPr="00480518" w:rsidRDefault="00480518" w:rsidP="00480518">
      <w:pPr>
        <w:ind w:left="567"/>
        <w:jc w:val="both"/>
        <w:rPr>
          <w:rFonts w:cs="Arial"/>
          <w:i/>
          <w:iCs/>
          <w:szCs w:val="24"/>
        </w:rPr>
      </w:pPr>
      <w:r w:rsidRPr="00480518">
        <w:rPr>
          <w:rFonts w:cs="Arial"/>
          <w:i/>
          <w:iCs/>
          <w:szCs w:val="24"/>
        </w:rPr>
        <w:t>A public authority must, in the exercise of its functions, have due regard to the need to:</w:t>
      </w:r>
    </w:p>
    <w:p w:rsidR="00480518" w:rsidRPr="00480518" w:rsidRDefault="00480518" w:rsidP="00480518">
      <w:pPr>
        <w:numPr>
          <w:ilvl w:val="1"/>
          <w:numId w:val="30"/>
        </w:numPr>
        <w:ind w:left="748" w:firstLine="0"/>
        <w:jc w:val="both"/>
        <w:rPr>
          <w:rFonts w:cs="Arial"/>
          <w:i/>
          <w:iCs/>
          <w:szCs w:val="24"/>
        </w:rPr>
      </w:pPr>
      <w:r w:rsidRPr="00480518">
        <w:rPr>
          <w:rFonts w:cs="Arial"/>
          <w:i/>
          <w:iCs/>
          <w:szCs w:val="24"/>
        </w:rPr>
        <w:t>eliminate discrimination, harassment, victimisation and any other conduct that is prohibited by or under this Act;</w:t>
      </w:r>
    </w:p>
    <w:p w:rsidR="00480518" w:rsidRPr="00480518" w:rsidRDefault="00480518" w:rsidP="00480518">
      <w:pPr>
        <w:numPr>
          <w:ilvl w:val="1"/>
          <w:numId w:val="30"/>
        </w:numPr>
        <w:ind w:left="748" w:firstLine="0"/>
        <w:jc w:val="both"/>
        <w:rPr>
          <w:rFonts w:cs="Arial"/>
          <w:i/>
          <w:iCs/>
          <w:szCs w:val="24"/>
        </w:rPr>
      </w:pPr>
      <w:r w:rsidRPr="00480518">
        <w:rPr>
          <w:rFonts w:cs="Arial"/>
          <w:i/>
          <w:iCs/>
          <w:szCs w:val="24"/>
        </w:rPr>
        <w:t>advance equality of opportunity between persons who share a relevant protected characteristic and persons who do not share it;</w:t>
      </w:r>
    </w:p>
    <w:p w:rsidR="00480518" w:rsidRPr="00480518" w:rsidRDefault="00480518" w:rsidP="00480518">
      <w:pPr>
        <w:numPr>
          <w:ilvl w:val="1"/>
          <w:numId w:val="30"/>
        </w:numPr>
        <w:ind w:left="748" w:firstLine="0"/>
        <w:jc w:val="both"/>
        <w:rPr>
          <w:rFonts w:cs="Arial"/>
          <w:i/>
          <w:iCs/>
          <w:szCs w:val="24"/>
        </w:rPr>
      </w:pPr>
      <w:r w:rsidRPr="00480518">
        <w:rPr>
          <w:rFonts w:cs="Arial"/>
          <w:i/>
          <w:iCs/>
          <w:szCs w:val="24"/>
        </w:rPr>
        <w:t>foster good relations between persons who share a relevant protected characteristic and persons who do not share it.</w:t>
      </w:r>
    </w:p>
    <w:p w:rsidR="00480518" w:rsidRPr="00480518" w:rsidRDefault="00480518" w:rsidP="00480518">
      <w:pPr>
        <w:ind w:left="748"/>
        <w:jc w:val="both"/>
        <w:rPr>
          <w:rFonts w:cs="Arial"/>
          <w:i/>
          <w:iCs/>
          <w:szCs w:val="24"/>
        </w:rPr>
      </w:pPr>
      <w:r w:rsidRPr="00480518">
        <w:rPr>
          <w:rFonts w:cs="Arial"/>
          <w:i/>
          <w:iCs/>
          <w:szCs w:val="24"/>
        </w:rPr>
        <w:t>The relevant protected characteristics are:</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Age</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Disability</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Gender reassignment</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Pregnancy and maternity</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Race,</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Religion or belief</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Sex</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Sexual orientation</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Marriage and Civil partnership</w:t>
      </w:r>
    </w:p>
    <w:p w:rsidR="00480518" w:rsidRPr="00480518" w:rsidRDefault="00480518" w:rsidP="00480518">
      <w:pPr>
        <w:jc w:val="both"/>
        <w:rPr>
          <w:rFonts w:cs="Arial"/>
        </w:rPr>
      </w:pPr>
    </w:p>
    <w:p w:rsidR="00480518" w:rsidRPr="00480518" w:rsidRDefault="00480518" w:rsidP="00480518">
      <w:pPr>
        <w:jc w:val="both"/>
      </w:pPr>
    </w:p>
    <w:p w:rsidR="00480518" w:rsidRPr="00480518" w:rsidRDefault="00480518" w:rsidP="00FF590B">
      <w:pPr>
        <w:numPr>
          <w:ilvl w:val="0"/>
          <w:numId w:val="27"/>
        </w:numPr>
        <w:tabs>
          <w:tab w:val="clear" w:pos="360"/>
          <w:tab w:val="num" w:pos="2268"/>
        </w:tabs>
        <w:ind w:left="709" w:hanging="709"/>
        <w:jc w:val="both"/>
        <w:rPr>
          <w:rFonts w:cs="Arial"/>
          <w:szCs w:val="24"/>
        </w:rPr>
      </w:pPr>
      <w:r w:rsidRPr="00480518">
        <w:rPr>
          <w:rFonts w:cs="Arial"/>
          <w:szCs w:val="24"/>
        </w:rPr>
        <w:t>Consultation responses received on this draft programme will be taken into account in drafting the final EIA</w:t>
      </w:r>
      <w:bookmarkStart w:id="1" w:name="LastEdit"/>
      <w:bookmarkEnd w:id="1"/>
      <w:r w:rsidRPr="00480518">
        <w:rPr>
          <w:rFonts w:cs="Arial"/>
          <w:szCs w:val="24"/>
        </w:rPr>
        <w:t>.</w:t>
      </w:r>
    </w:p>
    <w:p w:rsidR="00480518" w:rsidRPr="00480518" w:rsidRDefault="00480518" w:rsidP="00480518">
      <w:pPr>
        <w:ind w:left="567" w:hanging="567"/>
      </w:pPr>
    </w:p>
    <w:p w:rsidR="00480518" w:rsidRPr="00480518" w:rsidRDefault="00480518" w:rsidP="00480518">
      <w:pPr>
        <w:ind w:left="567" w:hanging="567"/>
        <w:rPr>
          <w:b/>
          <w:sz w:val="28"/>
          <w:szCs w:val="28"/>
        </w:rPr>
      </w:pPr>
      <w:r w:rsidRPr="00480518">
        <w:rPr>
          <w:b/>
          <w:sz w:val="28"/>
          <w:szCs w:val="28"/>
        </w:rPr>
        <w:t xml:space="preserve">Council Priorities </w:t>
      </w:r>
    </w:p>
    <w:p w:rsidR="00480518" w:rsidRPr="00480518" w:rsidRDefault="00480518" w:rsidP="00480518">
      <w:pPr>
        <w:tabs>
          <w:tab w:val="left" w:pos="7470"/>
        </w:tabs>
        <w:ind w:left="567"/>
        <w:rPr>
          <w:rFonts w:cs="Arial"/>
          <w:szCs w:val="24"/>
        </w:rPr>
      </w:pPr>
      <w:r w:rsidRPr="00480518">
        <w:rPr>
          <w:rFonts w:cs="Arial"/>
          <w:szCs w:val="24"/>
        </w:rPr>
        <w:t>The Council’s vision is:</w:t>
      </w:r>
      <w:r w:rsidRPr="00480518">
        <w:rPr>
          <w:rFonts w:cs="Arial"/>
          <w:szCs w:val="24"/>
        </w:rPr>
        <w:tab/>
      </w:r>
    </w:p>
    <w:p w:rsidR="00480518" w:rsidRPr="00480518" w:rsidRDefault="00480518" w:rsidP="00480518">
      <w:pPr>
        <w:ind w:left="567" w:hanging="567"/>
        <w:rPr>
          <w:rFonts w:cs="Arial"/>
          <w:szCs w:val="24"/>
        </w:rPr>
      </w:pPr>
    </w:p>
    <w:p w:rsidR="00480518" w:rsidRPr="00480518" w:rsidRDefault="00480518" w:rsidP="00480518">
      <w:pPr>
        <w:ind w:left="567" w:hanging="567"/>
        <w:rPr>
          <w:rFonts w:cs="Arial"/>
          <w:szCs w:val="24"/>
        </w:rPr>
      </w:pPr>
      <w:r w:rsidRPr="00480518">
        <w:rPr>
          <w:rFonts w:cs="Arial"/>
          <w:b/>
          <w:szCs w:val="24"/>
        </w:rPr>
        <w:t>Working Together to Make a Difference for Harrow</w:t>
      </w:r>
      <w:r w:rsidRPr="00480518">
        <w:rPr>
          <w:rFonts w:cs="Arial"/>
          <w:szCs w:val="24"/>
        </w:rPr>
        <w:t xml:space="preserve"> </w:t>
      </w:r>
    </w:p>
    <w:p w:rsidR="00480518" w:rsidRPr="00480518" w:rsidRDefault="00480518" w:rsidP="00480518">
      <w:pPr>
        <w:ind w:left="567" w:hanging="567"/>
        <w:rPr>
          <w:b/>
          <w:sz w:val="28"/>
          <w:szCs w:val="28"/>
        </w:rPr>
      </w:pPr>
    </w:p>
    <w:p w:rsidR="00D372BF" w:rsidRDefault="00480518" w:rsidP="00D372BF">
      <w:pPr>
        <w:ind w:left="567"/>
        <w:jc w:val="both"/>
        <w:rPr>
          <w:rFonts w:cs="Arial"/>
          <w:szCs w:val="24"/>
          <w:lang w:val="en-US"/>
        </w:rPr>
      </w:pPr>
      <w:r w:rsidRPr="00480518">
        <w:t xml:space="preserve">This report deals with the use of financial resources which is key to delivering the </w:t>
      </w:r>
      <w:r w:rsidR="00D372BF" w:rsidRPr="00D372BF">
        <w:rPr>
          <w:rFonts w:cs="Arial"/>
          <w:szCs w:val="24"/>
          <w:lang w:val="en-US"/>
        </w:rPr>
        <w:t xml:space="preserve">priorities of the Harrow Ambition Plan: </w:t>
      </w:r>
    </w:p>
    <w:p w:rsidR="00D372BF" w:rsidRPr="00D372BF" w:rsidRDefault="00D372BF" w:rsidP="00D372BF">
      <w:pPr>
        <w:ind w:left="567"/>
        <w:jc w:val="both"/>
      </w:pPr>
    </w:p>
    <w:p w:rsidR="00D372BF" w:rsidRPr="00D372BF" w:rsidRDefault="00D372BF" w:rsidP="00D372BF">
      <w:pPr>
        <w:numPr>
          <w:ilvl w:val="0"/>
          <w:numId w:val="32"/>
        </w:numPr>
        <w:tabs>
          <w:tab w:val="num" w:pos="2268"/>
        </w:tabs>
        <w:jc w:val="both"/>
      </w:pPr>
      <w:r>
        <w:rPr>
          <w:rFonts w:cs="Arial"/>
          <w:szCs w:val="24"/>
          <w:lang w:val="en-US"/>
        </w:rPr>
        <w:t>Build a Better Harrow</w:t>
      </w:r>
      <w:r w:rsidRPr="00D372BF">
        <w:rPr>
          <w:rFonts w:cs="Arial"/>
          <w:szCs w:val="24"/>
          <w:lang w:val="en-US"/>
        </w:rPr>
        <w:t xml:space="preserve"> </w:t>
      </w:r>
    </w:p>
    <w:p w:rsidR="00D372BF" w:rsidRPr="00D372BF" w:rsidRDefault="00D372BF" w:rsidP="00D372BF">
      <w:pPr>
        <w:numPr>
          <w:ilvl w:val="0"/>
          <w:numId w:val="32"/>
        </w:numPr>
        <w:tabs>
          <w:tab w:val="num" w:pos="2268"/>
        </w:tabs>
        <w:jc w:val="both"/>
      </w:pPr>
      <w:r w:rsidRPr="00D372BF">
        <w:rPr>
          <w:rFonts w:cs="Arial"/>
          <w:szCs w:val="24"/>
          <w:lang w:val="en-US"/>
        </w:rPr>
        <w:t xml:space="preserve">Be More Business-Like and Business Friendly </w:t>
      </w:r>
    </w:p>
    <w:p w:rsidR="00D372BF" w:rsidRPr="00480518" w:rsidRDefault="00D372BF" w:rsidP="00D372BF">
      <w:pPr>
        <w:numPr>
          <w:ilvl w:val="0"/>
          <w:numId w:val="32"/>
        </w:numPr>
        <w:tabs>
          <w:tab w:val="num" w:pos="2268"/>
        </w:tabs>
        <w:jc w:val="both"/>
      </w:pPr>
      <w:r w:rsidRPr="00D372BF">
        <w:rPr>
          <w:rFonts w:cs="Arial"/>
          <w:szCs w:val="24"/>
          <w:lang w:val="en-US"/>
        </w:rPr>
        <w:t xml:space="preserve">Protecting the </w:t>
      </w:r>
      <w:r w:rsidR="00E23647">
        <w:rPr>
          <w:rFonts w:cs="Arial"/>
          <w:szCs w:val="24"/>
          <w:lang w:val="en-US"/>
        </w:rPr>
        <w:t xml:space="preserve">most </w:t>
      </w:r>
      <w:r w:rsidRPr="00D372BF">
        <w:rPr>
          <w:rFonts w:cs="Arial"/>
          <w:szCs w:val="24"/>
          <w:lang w:val="en-US"/>
        </w:rPr>
        <w:t>Vulnerable and Support Families.</w:t>
      </w:r>
    </w:p>
    <w:p w:rsidR="00B14937" w:rsidRDefault="00B14937" w:rsidP="005808FB">
      <w:pPr>
        <w:ind w:right="141"/>
        <w:rPr>
          <w:rFonts w:cs="Arial"/>
          <w:szCs w:val="24"/>
          <w:lang w:val="en-US" w:eastAsia="en-GB"/>
        </w:rPr>
      </w:pPr>
    </w:p>
    <w:p w:rsidR="00333FAA" w:rsidRPr="00B14937" w:rsidRDefault="00333FAA" w:rsidP="00333FAA">
      <w:pPr>
        <w:pStyle w:val="Heading1"/>
        <w:keepNext/>
        <w:rPr>
          <w:sz w:val="28"/>
          <w:szCs w:val="28"/>
        </w:rPr>
      </w:pPr>
      <w:r w:rsidRPr="00B14937">
        <w:rPr>
          <w:sz w:val="28"/>
          <w:szCs w:val="28"/>
        </w:rPr>
        <w:t>Section 3 - Statutory Officer Clearance</w:t>
      </w:r>
    </w:p>
    <w:p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7"/>
        <w:gridCol w:w="381"/>
        <w:gridCol w:w="234"/>
        <w:gridCol w:w="3583"/>
      </w:tblGrid>
      <w:tr w:rsidR="00333FAA" w:rsidRPr="00D47AA9">
        <w:tc>
          <w:tcPr>
            <w:tcW w:w="4752" w:type="dxa"/>
            <w:tcBorders>
              <w:bottom w:val="nil"/>
              <w:right w:val="nil"/>
            </w:tcBorders>
          </w:tcPr>
          <w:p w:rsidR="00333FAA" w:rsidRPr="00D47AA9" w:rsidRDefault="00333FAA" w:rsidP="00A53B04">
            <w:pPr>
              <w:pStyle w:val="Infotext"/>
              <w:rPr>
                <w:sz w:val="24"/>
                <w:szCs w:val="24"/>
              </w:rPr>
            </w:pPr>
          </w:p>
        </w:tc>
        <w:tc>
          <w:tcPr>
            <w:tcW w:w="387" w:type="dxa"/>
            <w:tcBorders>
              <w:left w:val="nil"/>
              <w:right w:val="nil"/>
            </w:tcBorders>
          </w:tcPr>
          <w:p w:rsidR="00333FAA" w:rsidRPr="00D47AA9" w:rsidRDefault="00333FAA" w:rsidP="00A53B04">
            <w:pPr>
              <w:pStyle w:val="Infotext"/>
              <w:rPr>
                <w:sz w:val="24"/>
                <w:szCs w:val="24"/>
              </w:rPr>
            </w:pPr>
          </w:p>
        </w:tc>
        <w:tc>
          <w:tcPr>
            <w:tcW w:w="236" w:type="dxa"/>
            <w:tcBorders>
              <w:left w:val="nil"/>
              <w:bottom w:val="nil"/>
              <w:right w:val="nil"/>
            </w:tcBorders>
          </w:tcPr>
          <w:p w:rsidR="00333FAA" w:rsidRPr="00D47AA9" w:rsidRDefault="00333FAA" w:rsidP="00A53B04">
            <w:pPr>
              <w:pStyle w:val="Infotext"/>
              <w:rPr>
                <w:sz w:val="24"/>
                <w:szCs w:val="24"/>
              </w:rPr>
            </w:pPr>
          </w:p>
        </w:tc>
        <w:tc>
          <w:tcPr>
            <w:tcW w:w="3890" w:type="dxa"/>
            <w:tcBorders>
              <w:left w:val="nil"/>
              <w:bottom w:val="nil"/>
            </w:tcBorders>
          </w:tcPr>
          <w:p w:rsidR="00333FAA" w:rsidRPr="00D47AA9" w:rsidRDefault="00333FAA" w:rsidP="00A53B04">
            <w:pPr>
              <w:pStyle w:val="Infotext"/>
              <w:rPr>
                <w:sz w:val="24"/>
                <w:szCs w:val="24"/>
              </w:rPr>
            </w:pPr>
          </w:p>
          <w:p w:rsidR="00333FAA" w:rsidRPr="00D47AA9" w:rsidRDefault="00333FAA" w:rsidP="00A53B04">
            <w:pPr>
              <w:pStyle w:val="Infotext"/>
              <w:rPr>
                <w:sz w:val="24"/>
                <w:szCs w:val="24"/>
              </w:rPr>
            </w:pPr>
          </w:p>
        </w:tc>
      </w:tr>
      <w:tr w:rsidR="00333FAA" w:rsidRPr="00D47AA9">
        <w:tc>
          <w:tcPr>
            <w:tcW w:w="4752" w:type="dxa"/>
            <w:tcBorders>
              <w:top w:val="nil"/>
              <w:bottom w:val="nil"/>
            </w:tcBorders>
          </w:tcPr>
          <w:p w:rsidR="00333FAA" w:rsidRPr="00D47AA9" w:rsidRDefault="00333FAA" w:rsidP="00566EB8">
            <w:pPr>
              <w:pStyle w:val="Infotext"/>
              <w:rPr>
                <w:sz w:val="24"/>
                <w:szCs w:val="24"/>
              </w:rPr>
            </w:pPr>
            <w:r w:rsidRPr="00D47AA9">
              <w:rPr>
                <w:sz w:val="24"/>
                <w:szCs w:val="24"/>
              </w:rPr>
              <w:t>Name:</w:t>
            </w:r>
            <w:r w:rsidR="00DB6C3D" w:rsidRPr="00D47AA9">
              <w:rPr>
                <w:sz w:val="24"/>
                <w:szCs w:val="24"/>
              </w:rPr>
              <w:t xml:space="preserve"> </w:t>
            </w:r>
            <w:r w:rsidR="00566EB8" w:rsidRPr="00D47AA9">
              <w:rPr>
                <w:sz w:val="24"/>
                <w:szCs w:val="24"/>
              </w:rPr>
              <w:t>Dawn Calvert</w:t>
            </w:r>
            <w:r w:rsidRPr="00D47AA9">
              <w:rPr>
                <w:sz w:val="24"/>
                <w:szCs w:val="24"/>
              </w:rPr>
              <w:t>…</w:t>
            </w:r>
          </w:p>
        </w:tc>
        <w:tc>
          <w:tcPr>
            <w:tcW w:w="387" w:type="dxa"/>
            <w:tcBorders>
              <w:bottom w:val="single" w:sz="4" w:space="0" w:color="auto"/>
            </w:tcBorders>
          </w:tcPr>
          <w:p w:rsidR="00333FAA" w:rsidRPr="00D47AA9" w:rsidRDefault="00566EB8" w:rsidP="00A53B04">
            <w:pPr>
              <w:pStyle w:val="Infotext"/>
              <w:rPr>
                <w:sz w:val="24"/>
                <w:szCs w:val="24"/>
              </w:rPr>
            </w:pPr>
            <w:r w:rsidRPr="00D47AA9">
              <w:rPr>
                <w:sz w:val="24"/>
                <w:szCs w:val="24"/>
              </w:rPr>
              <w:t>x</w:t>
            </w:r>
          </w:p>
        </w:tc>
        <w:tc>
          <w:tcPr>
            <w:tcW w:w="236" w:type="dxa"/>
            <w:tcBorders>
              <w:top w:val="nil"/>
              <w:bottom w:val="nil"/>
              <w:right w:val="nil"/>
            </w:tcBorders>
          </w:tcPr>
          <w:p w:rsidR="00333FAA" w:rsidRPr="00D47AA9" w:rsidRDefault="00333FAA" w:rsidP="00A53B04">
            <w:pPr>
              <w:pStyle w:val="Infotext"/>
              <w:rPr>
                <w:sz w:val="24"/>
                <w:szCs w:val="24"/>
              </w:rPr>
            </w:pPr>
          </w:p>
        </w:tc>
        <w:tc>
          <w:tcPr>
            <w:tcW w:w="3890" w:type="dxa"/>
            <w:tcBorders>
              <w:top w:val="nil"/>
              <w:left w:val="nil"/>
              <w:bottom w:val="nil"/>
            </w:tcBorders>
          </w:tcPr>
          <w:p w:rsidR="00333FAA" w:rsidRPr="00D47AA9" w:rsidRDefault="00333FAA" w:rsidP="00A53B04">
            <w:pPr>
              <w:pStyle w:val="Infotext"/>
              <w:rPr>
                <w:sz w:val="24"/>
                <w:szCs w:val="24"/>
              </w:rPr>
            </w:pPr>
            <w:r w:rsidRPr="00D47AA9">
              <w:rPr>
                <w:sz w:val="24"/>
                <w:szCs w:val="24"/>
              </w:rPr>
              <w:t>Chief Financial Officer</w:t>
            </w:r>
          </w:p>
        </w:tc>
      </w:tr>
      <w:tr w:rsidR="00333FAA" w:rsidRPr="00D47AA9">
        <w:tc>
          <w:tcPr>
            <w:tcW w:w="4752" w:type="dxa"/>
            <w:tcBorders>
              <w:top w:val="nil"/>
              <w:right w:val="nil"/>
            </w:tcBorders>
          </w:tcPr>
          <w:p w:rsidR="00333FAA" w:rsidRPr="00D47AA9" w:rsidRDefault="00333FAA" w:rsidP="00A53B04">
            <w:pPr>
              <w:pStyle w:val="Infotext"/>
              <w:rPr>
                <w:sz w:val="24"/>
                <w:szCs w:val="24"/>
              </w:rPr>
            </w:pPr>
            <w:r w:rsidRPr="00D47AA9">
              <w:rPr>
                <w:sz w:val="24"/>
                <w:szCs w:val="24"/>
              </w:rPr>
              <w:t xml:space="preserve"> </w:t>
            </w:r>
          </w:p>
          <w:p w:rsidR="00333FAA" w:rsidRPr="00D47AA9" w:rsidRDefault="00333FAA" w:rsidP="00FA1D36">
            <w:pPr>
              <w:pStyle w:val="Infotext"/>
              <w:rPr>
                <w:sz w:val="24"/>
                <w:szCs w:val="24"/>
              </w:rPr>
            </w:pPr>
            <w:r w:rsidRPr="00D47AA9">
              <w:rPr>
                <w:sz w:val="24"/>
                <w:szCs w:val="24"/>
              </w:rPr>
              <w:t xml:space="preserve">Date: </w:t>
            </w:r>
            <w:r w:rsidR="00FA1D36">
              <w:rPr>
                <w:sz w:val="24"/>
                <w:szCs w:val="24"/>
              </w:rPr>
              <w:t>28.11.16</w:t>
            </w:r>
            <w:r w:rsidR="00E23647" w:rsidRPr="00D47AA9">
              <w:rPr>
                <w:sz w:val="24"/>
                <w:szCs w:val="24"/>
              </w:rPr>
              <w:t>.</w:t>
            </w:r>
          </w:p>
        </w:tc>
        <w:tc>
          <w:tcPr>
            <w:tcW w:w="387" w:type="dxa"/>
            <w:tcBorders>
              <w:left w:val="nil"/>
              <w:bottom w:val="single" w:sz="4" w:space="0" w:color="auto"/>
              <w:right w:val="nil"/>
            </w:tcBorders>
          </w:tcPr>
          <w:p w:rsidR="00333FAA" w:rsidRPr="00D47AA9" w:rsidRDefault="00333FAA" w:rsidP="00A53B04">
            <w:pPr>
              <w:pStyle w:val="Infotext"/>
              <w:rPr>
                <w:sz w:val="24"/>
                <w:szCs w:val="24"/>
              </w:rPr>
            </w:pPr>
          </w:p>
        </w:tc>
        <w:tc>
          <w:tcPr>
            <w:tcW w:w="236" w:type="dxa"/>
            <w:tcBorders>
              <w:top w:val="nil"/>
              <w:left w:val="nil"/>
              <w:right w:val="nil"/>
            </w:tcBorders>
          </w:tcPr>
          <w:p w:rsidR="00333FAA" w:rsidRPr="00D47AA9" w:rsidRDefault="00333FAA" w:rsidP="00A53B04">
            <w:pPr>
              <w:pStyle w:val="Infotext"/>
              <w:rPr>
                <w:sz w:val="24"/>
                <w:szCs w:val="24"/>
              </w:rPr>
            </w:pPr>
          </w:p>
        </w:tc>
        <w:tc>
          <w:tcPr>
            <w:tcW w:w="3890" w:type="dxa"/>
            <w:tcBorders>
              <w:top w:val="nil"/>
              <w:left w:val="nil"/>
            </w:tcBorders>
          </w:tcPr>
          <w:p w:rsidR="00333FAA" w:rsidRPr="00D47AA9" w:rsidRDefault="00333FAA" w:rsidP="00A53B04">
            <w:pPr>
              <w:pStyle w:val="Infotext"/>
              <w:rPr>
                <w:sz w:val="24"/>
                <w:szCs w:val="24"/>
              </w:rPr>
            </w:pPr>
          </w:p>
        </w:tc>
      </w:tr>
      <w:tr w:rsidR="00333FAA" w:rsidRPr="00D47AA9">
        <w:tc>
          <w:tcPr>
            <w:tcW w:w="4752" w:type="dxa"/>
            <w:tcBorders>
              <w:bottom w:val="nil"/>
              <w:right w:val="nil"/>
            </w:tcBorders>
          </w:tcPr>
          <w:p w:rsidR="00333FAA" w:rsidRPr="00D47AA9" w:rsidRDefault="00333FAA" w:rsidP="00A53B04">
            <w:pPr>
              <w:pStyle w:val="Infotext"/>
              <w:rPr>
                <w:sz w:val="24"/>
                <w:szCs w:val="24"/>
              </w:rPr>
            </w:pPr>
          </w:p>
        </w:tc>
        <w:tc>
          <w:tcPr>
            <w:tcW w:w="387" w:type="dxa"/>
            <w:tcBorders>
              <w:left w:val="nil"/>
              <w:right w:val="nil"/>
            </w:tcBorders>
          </w:tcPr>
          <w:p w:rsidR="00333FAA" w:rsidRPr="00D47AA9" w:rsidRDefault="00333FAA" w:rsidP="00A53B04">
            <w:pPr>
              <w:pStyle w:val="Infotext"/>
              <w:rPr>
                <w:sz w:val="24"/>
                <w:szCs w:val="24"/>
              </w:rPr>
            </w:pPr>
          </w:p>
        </w:tc>
        <w:tc>
          <w:tcPr>
            <w:tcW w:w="236" w:type="dxa"/>
            <w:tcBorders>
              <w:left w:val="nil"/>
              <w:bottom w:val="nil"/>
              <w:right w:val="nil"/>
            </w:tcBorders>
          </w:tcPr>
          <w:p w:rsidR="00333FAA" w:rsidRPr="00D47AA9" w:rsidRDefault="00333FAA" w:rsidP="00A53B04">
            <w:pPr>
              <w:pStyle w:val="Infotext"/>
              <w:rPr>
                <w:sz w:val="24"/>
                <w:szCs w:val="24"/>
              </w:rPr>
            </w:pPr>
          </w:p>
        </w:tc>
        <w:tc>
          <w:tcPr>
            <w:tcW w:w="3890" w:type="dxa"/>
            <w:tcBorders>
              <w:left w:val="nil"/>
              <w:bottom w:val="nil"/>
            </w:tcBorders>
          </w:tcPr>
          <w:p w:rsidR="00333FAA" w:rsidRPr="00D47AA9" w:rsidRDefault="00333FAA" w:rsidP="00A53B04">
            <w:pPr>
              <w:pStyle w:val="Infotext"/>
              <w:rPr>
                <w:sz w:val="24"/>
                <w:szCs w:val="24"/>
              </w:rPr>
            </w:pPr>
          </w:p>
          <w:p w:rsidR="00333FAA" w:rsidRPr="00D47AA9" w:rsidRDefault="00333FAA" w:rsidP="00A53B04">
            <w:pPr>
              <w:pStyle w:val="Infotext"/>
              <w:rPr>
                <w:sz w:val="24"/>
                <w:szCs w:val="24"/>
              </w:rPr>
            </w:pPr>
            <w:r w:rsidRPr="00D47AA9">
              <w:rPr>
                <w:sz w:val="24"/>
                <w:szCs w:val="24"/>
              </w:rPr>
              <w:t>on behalf of the</w:t>
            </w:r>
            <w:r w:rsidR="001966D7" w:rsidRPr="00D47AA9">
              <w:rPr>
                <w:sz w:val="24"/>
                <w:szCs w:val="24"/>
              </w:rPr>
              <w:t xml:space="preserve"> *</w:t>
            </w:r>
          </w:p>
        </w:tc>
      </w:tr>
      <w:tr w:rsidR="00333FAA" w:rsidRPr="00D47AA9">
        <w:tc>
          <w:tcPr>
            <w:tcW w:w="4752" w:type="dxa"/>
            <w:tcBorders>
              <w:top w:val="nil"/>
              <w:bottom w:val="nil"/>
            </w:tcBorders>
          </w:tcPr>
          <w:p w:rsidR="00333FAA" w:rsidRPr="00D47AA9" w:rsidRDefault="00333FAA" w:rsidP="00FA1D36">
            <w:pPr>
              <w:pStyle w:val="Infotext"/>
              <w:rPr>
                <w:sz w:val="24"/>
                <w:szCs w:val="24"/>
              </w:rPr>
            </w:pPr>
            <w:r w:rsidRPr="00D47AA9">
              <w:rPr>
                <w:sz w:val="24"/>
                <w:szCs w:val="24"/>
              </w:rPr>
              <w:t xml:space="preserve">Name: </w:t>
            </w:r>
            <w:r w:rsidR="00FA1D36">
              <w:rPr>
                <w:sz w:val="24"/>
                <w:szCs w:val="24"/>
              </w:rPr>
              <w:t>Jessica Farmer</w:t>
            </w:r>
          </w:p>
        </w:tc>
        <w:tc>
          <w:tcPr>
            <w:tcW w:w="387" w:type="dxa"/>
            <w:tcBorders>
              <w:bottom w:val="single" w:sz="4" w:space="0" w:color="auto"/>
            </w:tcBorders>
          </w:tcPr>
          <w:p w:rsidR="00333FAA" w:rsidRPr="00D47AA9" w:rsidRDefault="00FA1D36" w:rsidP="00A53B04">
            <w:pPr>
              <w:pStyle w:val="Infotext"/>
              <w:rPr>
                <w:sz w:val="24"/>
                <w:szCs w:val="24"/>
              </w:rPr>
            </w:pPr>
            <w:r>
              <w:rPr>
                <w:sz w:val="24"/>
                <w:szCs w:val="24"/>
              </w:rPr>
              <w:t>x</w:t>
            </w:r>
          </w:p>
        </w:tc>
        <w:tc>
          <w:tcPr>
            <w:tcW w:w="236" w:type="dxa"/>
            <w:tcBorders>
              <w:top w:val="nil"/>
              <w:bottom w:val="nil"/>
              <w:right w:val="nil"/>
            </w:tcBorders>
          </w:tcPr>
          <w:p w:rsidR="00333FAA" w:rsidRPr="00D47AA9" w:rsidRDefault="00333FAA" w:rsidP="00A53B04">
            <w:pPr>
              <w:pStyle w:val="Infotext"/>
              <w:rPr>
                <w:sz w:val="24"/>
                <w:szCs w:val="24"/>
              </w:rPr>
            </w:pPr>
          </w:p>
        </w:tc>
        <w:tc>
          <w:tcPr>
            <w:tcW w:w="3890" w:type="dxa"/>
            <w:tcBorders>
              <w:top w:val="nil"/>
              <w:left w:val="nil"/>
              <w:bottom w:val="nil"/>
            </w:tcBorders>
          </w:tcPr>
          <w:p w:rsidR="00333FAA" w:rsidRPr="00D47AA9" w:rsidRDefault="00333FAA" w:rsidP="00A53B04">
            <w:pPr>
              <w:pStyle w:val="Infotext"/>
              <w:rPr>
                <w:sz w:val="24"/>
                <w:szCs w:val="24"/>
              </w:rPr>
            </w:pPr>
            <w:r w:rsidRPr="00D47AA9">
              <w:rPr>
                <w:sz w:val="24"/>
                <w:szCs w:val="24"/>
              </w:rPr>
              <w:t>Monitoring Officer</w:t>
            </w:r>
          </w:p>
        </w:tc>
      </w:tr>
      <w:tr w:rsidR="00333FAA" w:rsidRPr="00D47AA9">
        <w:tc>
          <w:tcPr>
            <w:tcW w:w="4752" w:type="dxa"/>
            <w:tcBorders>
              <w:top w:val="nil"/>
              <w:right w:val="nil"/>
            </w:tcBorders>
          </w:tcPr>
          <w:p w:rsidR="00333FAA" w:rsidRPr="00D47AA9" w:rsidRDefault="00333FAA" w:rsidP="00A53B04">
            <w:pPr>
              <w:pStyle w:val="Infotext"/>
              <w:rPr>
                <w:sz w:val="24"/>
                <w:szCs w:val="24"/>
              </w:rPr>
            </w:pPr>
          </w:p>
          <w:p w:rsidR="00333FAA" w:rsidRPr="00D47AA9" w:rsidRDefault="00333FAA" w:rsidP="00FA1D36">
            <w:pPr>
              <w:pStyle w:val="Infotext"/>
              <w:rPr>
                <w:sz w:val="24"/>
                <w:szCs w:val="24"/>
              </w:rPr>
            </w:pPr>
            <w:r w:rsidRPr="00D47AA9">
              <w:rPr>
                <w:sz w:val="24"/>
                <w:szCs w:val="24"/>
              </w:rPr>
              <w:t xml:space="preserve">Date: </w:t>
            </w:r>
            <w:r w:rsidR="00FA1D36">
              <w:rPr>
                <w:sz w:val="24"/>
                <w:szCs w:val="24"/>
              </w:rPr>
              <w:t>28.11.16</w:t>
            </w:r>
          </w:p>
        </w:tc>
        <w:tc>
          <w:tcPr>
            <w:tcW w:w="387" w:type="dxa"/>
            <w:tcBorders>
              <w:left w:val="nil"/>
              <w:right w:val="nil"/>
            </w:tcBorders>
          </w:tcPr>
          <w:p w:rsidR="00333FAA" w:rsidRPr="00D47AA9" w:rsidRDefault="00333FAA" w:rsidP="00A53B04">
            <w:pPr>
              <w:pStyle w:val="Infotext"/>
              <w:rPr>
                <w:sz w:val="24"/>
                <w:szCs w:val="24"/>
              </w:rPr>
            </w:pPr>
          </w:p>
        </w:tc>
        <w:tc>
          <w:tcPr>
            <w:tcW w:w="236" w:type="dxa"/>
            <w:tcBorders>
              <w:top w:val="nil"/>
              <w:left w:val="nil"/>
              <w:right w:val="nil"/>
            </w:tcBorders>
          </w:tcPr>
          <w:p w:rsidR="00333FAA" w:rsidRPr="00D47AA9" w:rsidRDefault="00333FAA" w:rsidP="00A53B04">
            <w:pPr>
              <w:pStyle w:val="Infotext"/>
              <w:rPr>
                <w:sz w:val="24"/>
                <w:szCs w:val="24"/>
              </w:rPr>
            </w:pPr>
          </w:p>
        </w:tc>
        <w:tc>
          <w:tcPr>
            <w:tcW w:w="3890" w:type="dxa"/>
            <w:tcBorders>
              <w:top w:val="nil"/>
              <w:left w:val="nil"/>
            </w:tcBorders>
          </w:tcPr>
          <w:p w:rsidR="00333FAA" w:rsidRPr="00D47AA9" w:rsidRDefault="00333FAA" w:rsidP="00A53B04">
            <w:pPr>
              <w:pStyle w:val="Infotext"/>
              <w:rPr>
                <w:sz w:val="24"/>
                <w:szCs w:val="24"/>
              </w:rPr>
            </w:pPr>
          </w:p>
          <w:p w:rsidR="00333FAA" w:rsidRPr="00D47AA9" w:rsidRDefault="00333FAA" w:rsidP="00A53B04">
            <w:pPr>
              <w:pStyle w:val="Infotext"/>
              <w:rPr>
                <w:sz w:val="24"/>
                <w:szCs w:val="24"/>
              </w:rPr>
            </w:pPr>
          </w:p>
        </w:tc>
      </w:tr>
    </w:tbl>
    <w:p w:rsidR="00333FAA" w:rsidRDefault="00333FAA"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33FAA">
        <w:trPr>
          <w:trHeight w:val="965"/>
        </w:trPr>
        <w:tc>
          <w:tcPr>
            <w:tcW w:w="3025" w:type="pct"/>
            <w:tcBorders>
              <w:right w:val="nil"/>
            </w:tcBorders>
          </w:tcPr>
          <w:p w:rsidR="00333FAA" w:rsidRPr="00D47AA9" w:rsidRDefault="00333FAA" w:rsidP="00A53B04">
            <w:pPr>
              <w:pStyle w:val="Infotext"/>
              <w:rPr>
                <w:rFonts w:ascii="Arial Black" w:hAnsi="Arial Black"/>
                <w:sz w:val="24"/>
                <w:szCs w:val="24"/>
              </w:rPr>
            </w:pPr>
          </w:p>
          <w:p w:rsidR="00333FAA" w:rsidRPr="00D47AA9" w:rsidRDefault="00333FAA" w:rsidP="00A53B04">
            <w:pPr>
              <w:pStyle w:val="Infotext"/>
              <w:rPr>
                <w:rFonts w:ascii="Arial Black" w:hAnsi="Arial Black"/>
                <w:sz w:val="24"/>
                <w:szCs w:val="24"/>
              </w:rPr>
            </w:pPr>
            <w:r w:rsidRPr="00D47AA9">
              <w:rPr>
                <w:rFonts w:ascii="Arial Black" w:hAnsi="Arial Black"/>
                <w:sz w:val="24"/>
                <w:szCs w:val="24"/>
              </w:rPr>
              <w:t>Ward Councillors notified:</w:t>
            </w:r>
          </w:p>
          <w:p w:rsidR="00333FAA" w:rsidRPr="00D47AA9" w:rsidRDefault="00333FAA" w:rsidP="00A53B04">
            <w:pPr>
              <w:pStyle w:val="Infotext"/>
              <w:rPr>
                <w:color w:val="FF0000"/>
                <w:sz w:val="24"/>
                <w:szCs w:val="24"/>
              </w:rPr>
            </w:pPr>
          </w:p>
        </w:tc>
        <w:tc>
          <w:tcPr>
            <w:tcW w:w="1975" w:type="pct"/>
            <w:tcBorders>
              <w:left w:val="nil"/>
            </w:tcBorders>
          </w:tcPr>
          <w:p w:rsidR="00333FAA" w:rsidRPr="00D47AA9" w:rsidRDefault="00333FAA" w:rsidP="00A53B04">
            <w:pPr>
              <w:pStyle w:val="Infotext"/>
              <w:rPr>
                <w:sz w:val="24"/>
                <w:szCs w:val="24"/>
              </w:rPr>
            </w:pPr>
          </w:p>
          <w:p w:rsidR="00333FAA" w:rsidRPr="00D47AA9" w:rsidRDefault="00333FAA" w:rsidP="00D47AA9">
            <w:pPr>
              <w:pStyle w:val="Infotext"/>
              <w:spacing w:before="120"/>
              <w:rPr>
                <w:i/>
                <w:sz w:val="24"/>
                <w:szCs w:val="24"/>
              </w:rPr>
            </w:pPr>
            <w:r w:rsidRPr="00D47AA9">
              <w:rPr>
                <w:b/>
                <w:sz w:val="24"/>
                <w:szCs w:val="24"/>
              </w:rPr>
              <w:t xml:space="preserve">NO, as it impacts on all Wards </w:t>
            </w:r>
          </w:p>
        </w:tc>
      </w:tr>
      <w:tr w:rsidR="00333FAA" w:rsidRPr="00303FD6">
        <w:trPr>
          <w:trHeight w:val="965"/>
        </w:trPr>
        <w:tc>
          <w:tcPr>
            <w:tcW w:w="3025" w:type="pct"/>
            <w:tcBorders>
              <w:right w:val="nil"/>
            </w:tcBorders>
          </w:tcPr>
          <w:p w:rsidR="00333FAA" w:rsidRPr="00D47AA9" w:rsidRDefault="00333FAA" w:rsidP="00A53B04">
            <w:pPr>
              <w:pStyle w:val="Infotext"/>
              <w:rPr>
                <w:rFonts w:ascii="Arial Black" w:hAnsi="Arial Black"/>
                <w:color w:val="FF0000"/>
                <w:sz w:val="24"/>
                <w:szCs w:val="24"/>
              </w:rPr>
            </w:pPr>
          </w:p>
          <w:p w:rsidR="00333FAA" w:rsidRPr="00D47AA9" w:rsidRDefault="00333FAA" w:rsidP="00A53B04">
            <w:pPr>
              <w:pStyle w:val="Infotext"/>
              <w:rPr>
                <w:rFonts w:ascii="Arial Black" w:hAnsi="Arial Black"/>
                <w:sz w:val="24"/>
                <w:szCs w:val="24"/>
              </w:rPr>
            </w:pPr>
            <w:r w:rsidRPr="00D47AA9">
              <w:rPr>
                <w:rFonts w:ascii="Arial Black" w:hAnsi="Arial Black"/>
                <w:sz w:val="24"/>
                <w:szCs w:val="24"/>
              </w:rPr>
              <w:t>EqIA carried out:</w:t>
            </w:r>
          </w:p>
          <w:p w:rsidR="00333FAA" w:rsidRPr="00D47AA9" w:rsidRDefault="00333FAA" w:rsidP="00A53B04">
            <w:pPr>
              <w:pStyle w:val="Infotext"/>
              <w:rPr>
                <w:rFonts w:ascii="Arial Black" w:hAnsi="Arial Black"/>
                <w:sz w:val="24"/>
                <w:szCs w:val="24"/>
              </w:rPr>
            </w:pPr>
          </w:p>
          <w:p w:rsidR="00333FAA" w:rsidRPr="00D47AA9" w:rsidRDefault="00333FAA" w:rsidP="00A53B04">
            <w:pPr>
              <w:pStyle w:val="Infotext"/>
              <w:rPr>
                <w:rFonts w:ascii="Arial Black" w:hAnsi="Arial Black"/>
                <w:color w:val="FF0000"/>
                <w:sz w:val="24"/>
                <w:szCs w:val="24"/>
              </w:rPr>
            </w:pPr>
            <w:r w:rsidRPr="00D47AA9">
              <w:rPr>
                <w:rFonts w:ascii="Arial Black" w:hAnsi="Arial Black"/>
                <w:sz w:val="24"/>
                <w:szCs w:val="24"/>
              </w:rPr>
              <w:t>EqIA cleared by:</w:t>
            </w:r>
          </w:p>
        </w:tc>
        <w:tc>
          <w:tcPr>
            <w:tcW w:w="1975" w:type="pct"/>
            <w:tcBorders>
              <w:left w:val="nil"/>
            </w:tcBorders>
          </w:tcPr>
          <w:p w:rsidR="00333FAA" w:rsidRPr="00D47AA9" w:rsidRDefault="00333FAA" w:rsidP="00A53B04">
            <w:pPr>
              <w:pStyle w:val="Infotext"/>
              <w:rPr>
                <w:b/>
                <w:color w:val="FF0000"/>
                <w:sz w:val="24"/>
                <w:szCs w:val="24"/>
              </w:rPr>
            </w:pPr>
          </w:p>
          <w:p w:rsidR="00333FAA" w:rsidRPr="00D47AA9" w:rsidRDefault="00202D79" w:rsidP="00A53B04">
            <w:pPr>
              <w:pStyle w:val="Infotext"/>
              <w:rPr>
                <w:b/>
                <w:sz w:val="24"/>
                <w:szCs w:val="24"/>
              </w:rPr>
            </w:pPr>
            <w:r w:rsidRPr="00D47AA9">
              <w:rPr>
                <w:b/>
                <w:sz w:val="24"/>
                <w:szCs w:val="24"/>
              </w:rPr>
              <w:t xml:space="preserve"> </w:t>
            </w:r>
            <w:r w:rsidR="00480518" w:rsidRPr="00D47AA9">
              <w:rPr>
                <w:b/>
                <w:sz w:val="24"/>
                <w:szCs w:val="24"/>
              </w:rPr>
              <w:t>NO</w:t>
            </w:r>
          </w:p>
          <w:p w:rsidR="00480518" w:rsidRPr="00D47AA9" w:rsidRDefault="00480518" w:rsidP="00A53B04">
            <w:pPr>
              <w:pStyle w:val="Infotext"/>
              <w:rPr>
                <w:sz w:val="24"/>
                <w:szCs w:val="24"/>
              </w:rPr>
            </w:pPr>
          </w:p>
          <w:p w:rsidR="00480518" w:rsidRPr="00D47AA9" w:rsidRDefault="00480518" w:rsidP="00A53B04">
            <w:pPr>
              <w:pStyle w:val="Infotext"/>
              <w:rPr>
                <w:sz w:val="24"/>
                <w:szCs w:val="24"/>
              </w:rPr>
            </w:pPr>
          </w:p>
          <w:p w:rsidR="00333FAA" w:rsidRPr="00D47AA9" w:rsidRDefault="00480518" w:rsidP="00480518">
            <w:pPr>
              <w:pStyle w:val="Infotext"/>
              <w:rPr>
                <w:color w:val="FF0000"/>
                <w:sz w:val="24"/>
                <w:szCs w:val="24"/>
              </w:rPr>
            </w:pPr>
            <w:r w:rsidRPr="00D47AA9">
              <w:rPr>
                <w:sz w:val="24"/>
                <w:szCs w:val="24"/>
              </w:rPr>
              <w:t>Any projects with potential impacts will separately be required to do an impact assessment.</w:t>
            </w:r>
          </w:p>
        </w:tc>
      </w:tr>
    </w:tbl>
    <w:p w:rsidR="00333FAA" w:rsidRDefault="00333FAA" w:rsidP="00333FAA"/>
    <w:p w:rsidR="00333FAA" w:rsidRPr="00C64714" w:rsidRDefault="00333FAA" w:rsidP="00333FAA">
      <w:pPr>
        <w:pStyle w:val="Heading1"/>
        <w:keepNext/>
        <w:rPr>
          <w:sz w:val="24"/>
          <w:szCs w:val="24"/>
        </w:rPr>
      </w:pPr>
      <w:r w:rsidRPr="00C64714">
        <w:rPr>
          <w:sz w:val="24"/>
          <w:szCs w:val="24"/>
        </w:rPr>
        <w:t xml:space="preserve">Section </w:t>
      </w:r>
      <w:r w:rsidR="00A20113" w:rsidRPr="00C64714">
        <w:rPr>
          <w:sz w:val="24"/>
          <w:szCs w:val="24"/>
        </w:rPr>
        <w:t>4</w:t>
      </w:r>
      <w:r w:rsidRPr="00C64714">
        <w:rPr>
          <w:sz w:val="24"/>
          <w:szCs w:val="24"/>
        </w:rPr>
        <w:t xml:space="preserve"> - Contact Details and Background Papers</w:t>
      </w:r>
    </w:p>
    <w:p w:rsidR="00333FAA" w:rsidRDefault="00333FAA" w:rsidP="00333FAA">
      <w:pPr>
        <w:keepNext/>
        <w:rPr>
          <w:rFonts w:cs="Arial"/>
        </w:rPr>
      </w:pPr>
    </w:p>
    <w:p w:rsidR="00480518" w:rsidRPr="00D47AA9" w:rsidRDefault="00333FAA" w:rsidP="00333FAA">
      <w:pPr>
        <w:pStyle w:val="Infotext"/>
        <w:rPr>
          <w:sz w:val="24"/>
          <w:szCs w:val="24"/>
        </w:rPr>
      </w:pPr>
      <w:r w:rsidRPr="00D47AA9">
        <w:rPr>
          <w:b/>
          <w:sz w:val="24"/>
          <w:szCs w:val="24"/>
        </w:rPr>
        <w:t xml:space="preserve">Contact:  </w:t>
      </w:r>
      <w:r w:rsidR="00E23647" w:rsidRPr="00D47AA9">
        <w:rPr>
          <w:b/>
          <w:sz w:val="24"/>
          <w:szCs w:val="24"/>
        </w:rPr>
        <w:t>Sharon Daniels</w:t>
      </w:r>
      <w:r w:rsidR="00480518" w:rsidRPr="00D47AA9">
        <w:rPr>
          <w:sz w:val="24"/>
          <w:szCs w:val="24"/>
        </w:rPr>
        <w:t xml:space="preserve">, </w:t>
      </w:r>
      <w:r w:rsidR="00E23647" w:rsidRPr="00D47AA9">
        <w:rPr>
          <w:sz w:val="24"/>
          <w:szCs w:val="24"/>
        </w:rPr>
        <w:t>Head of Strategic and Technical Finance</w:t>
      </w:r>
      <w:r w:rsidR="00480518" w:rsidRPr="00D47AA9">
        <w:rPr>
          <w:sz w:val="24"/>
          <w:szCs w:val="24"/>
        </w:rPr>
        <w:t xml:space="preserve"> (</w:t>
      </w:r>
      <w:r w:rsidR="00E23647" w:rsidRPr="00D47AA9">
        <w:rPr>
          <w:sz w:val="24"/>
          <w:szCs w:val="24"/>
        </w:rPr>
        <w:t>Deputy S151)</w:t>
      </w:r>
      <w:r w:rsidR="00480518" w:rsidRPr="00D47AA9">
        <w:rPr>
          <w:sz w:val="24"/>
          <w:szCs w:val="24"/>
        </w:rPr>
        <w:t xml:space="preserve"> </w:t>
      </w:r>
    </w:p>
    <w:p w:rsidR="00480518" w:rsidRPr="00D47AA9" w:rsidRDefault="00480518" w:rsidP="00333FAA">
      <w:pPr>
        <w:pStyle w:val="Infotext"/>
        <w:rPr>
          <w:sz w:val="24"/>
          <w:szCs w:val="24"/>
        </w:rPr>
      </w:pPr>
      <w:r w:rsidRPr="00D47AA9">
        <w:rPr>
          <w:sz w:val="24"/>
          <w:szCs w:val="24"/>
        </w:rPr>
        <w:t xml:space="preserve">Email: </w:t>
      </w:r>
      <w:hyperlink r:id="rId12" w:history="1">
        <w:r w:rsidR="00E23647" w:rsidRPr="00D47AA9">
          <w:rPr>
            <w:rStyle w:val="Hyperlink"/>
            <w:sz w:val="24"/>
            <w:szCs w:val="24"/>
          </w:rPr>
          <w:t>sharon.daniels@harrow.gov.uk</w:t>
        </w:r>
      </w:hyperlink>
    </w:p>
    <w:p w:rsidR="00333FAA" w:rsidRDefault="00333FAA" w:rsidP="00333FAA"/>
    <w:p w:rsidR="00333FAA" w:rsidRPr="00480518" w:rsidRDefault="00333FAA" w:rsidP="00333FAA">
      <w:pPr>
        <w:pStyle w:val="Infotext"/>
        <w:rPr>
          <w:b/>
        </w:rPr>
      </w:pPr>
      <w:r w:rsidRPr="004E47FC">
        <w:rPr>
          <w:b/>
        </w:rPr>
        <w:t xml:space="preserve">Background Papers: </w:t>
      </w:r>
      <w:r w:rsidR="005808FB">
        <w:rPr>
          <w:b/>
        </w:rPr>
        <w:t xml:space="preserve"> </w:t>
      </w:r>
      <w:r w:rsidR="00480518" w:rsidRPr="00480518">
        <w:t>None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trPr>
          <w:trHeight w:val="965"/>
        </w:trPr>
        <w:tc>
          <w:tcPr>
            <w:tcW w:w="2210" w:type="pct"/>
            <w:tcBorders>
              <w:right w:val="nil"/>
            </w:tcBorders>
          </w:tcPr>
          <w:p w:rsidR="00333FAA" w:rsidRDefault="00333FAA" w:rsidP="00A53B04">
            <w:pPr>
              <w:pStyle w:val="Infotext"/>
            </w:pPr>
          </w:p>
          <w:p w:rsidR="00333FAA" w:rsidRPr="00C64714" w:rsidRDefault="00333FAA" w:rsidP="00A53B04">
            <w:pPr>
              <w:pStyle w:val="Infotext"/>
              <w:rPr>
                <w:rFonts w:ascii="Arial Black" w:hAnsi="Arial Black"/>
                <w:sz w:val="24"/>
                <w:szCs w:val="24"/>
              </w:rPr>
            </w:pPr>
            <w:r w:rsidRPr="00C64714">
              <w:rPr>
                <w:rFonts w:ascii="Arial Black" w:hAnsi="Arial Black"/>
                <w:sz w:val="24"/>
                <w:szCs w:val="24"/>
              </w:rPr>
              <w:t>Call-In Waived by the Chairman of Overview and Scrutiny Committee</w:t>
            </w:r>
          </w:p>
          <w:p w:rsidR="00333FAA" w:rsidRDefault="00333FAA" w:rsidP="00A53B04">
            <w:pPr>
              <w:pStyle w:val="Infotext"/>
            </w:pPr>
          </w:p>
          <w:p w:rsidR="00333FAA" w:rsidRPr="003D78F6" w:rsidRDefault="00333FAA" w:rsidP="00A53B04">
            <w:pPr>
              <w:pStyle w:val="Infotext"/>
              <w:rPr>
                <w:i/>
                <w:sz w:val="24"/>
                <w:szCs w:val="24"/>
              </w:rPr>
            </w:pPr>
            <w:r w:rsidRPr="003D78F6">
              <w:rPr>
                <w:i/>
                <w:sz w:val="24"/>
                <w:szCs w:val="24"/>
              </w:rPr>
              <w:t>(for completion by Democratic Services staff only)</w:t>
            </w:r>
          </w:p>
          <w:p w:rsidR="00333FAA" w:rsidRDefault="00333FAA" w:rsidP="00A53B04">
            <w:pPr>
              <w:pStyle w:val="Infotext"/>
            </w:pPr>
          </w:p>
        </w:tc>
        <w:tc>
          <w:tcPr>
            <w:tcW w:w="321" w:type="pct"/>
            <w:tcBorders>
              <w:left w:val="nil"/>
              <w:right w:val="nil"/>
            </w:tcBorders>
          </w:tcPr>
          <w:p w:rsidR="00333FAA" w:rsidRDefault="00333FAA" w:rsidP="00A53B04">
            <w:pPr>
              <w:pStyle w:val="Infotext"/>
            </w:pPr>
          </w:p>
        </w:tc>
        <w:tc>
          <w:tcPr>
            <w:tcW w:w="2469" w:type="pct"/>
            <w:tcBorders>
              <w:left w:val="nil"/>
            </w:tcBorders>
          </w:tcPr>
          <w:p w:rsidR="00333FAA" w:rsidRDefault="00333FAA" w:rsidP="00A53B04">
            <w:pPr>
              <w:pStyle w:val="Infotext"/>
            </w:pPr>
          </w:p>
          <w:p w:rsidR="00333FAA" w:rsidRDefault="00333FAA" w:rsidP="00A53B04">
            <w:pPr>
              <w:pStyle w:val="Infotext"/>
            </w:pPr>
            <w:r w:rsidRPr="003D78F6">
              <w:rPr>
                <w:b/>
              </w:rPr>
              <w:t>YES/ NO / NOT APPLICABLE</w:t>
            </w:r>
            <w:r>
              <w:t>*</w:t>
            </w:r>
          </w:p>
          <w:p w:rsidR="00333FAA" w:rsidRDefault="00333FAA" w:rsidP="00A53B04">
            <w:pPr>
              <w:pStyle w:val="Infotext"/>
            </w:pPr>
          </w:p>
          <w:p w:rsidR="00333FAA" w:rsidRDefault="00333FAA" w:rsidP="00A53B04">
            <w:pPr>
              <w:pStyle w:val="Infotext"/>
            </w:pPr>
          </w:p>
          <w:p w:rsidR="00333FAA" w:rsidRDefault="00333FAA" w:rsidP="00A53B04">
            <w:pPr>
              <w:pStyle w:val="Infotext"/>
            </w:pPr>
          </w:p>
          <w:p w:rsidR="00333FAA" w:rsidRDefault="00333FAA" w:rsidP="00A53B04">
            <w:pPr>
              <w:pStyle w:val="Infotext"/>
              <w:rPr>
                <w:i/>
                <w:sz w:val="24"/>
                <w:szCs w:val="24"/>
              </w:rPr>
            </w:pPr>
            <w:r w:rsidRPr="003D78F6">
              <w:rPr>
                <w:i/>
                <w:sz w:val="24"/>
                <w:szCs w:val="24"/>
              </w:rPr>
              <w:t>*  Delete as appropriate</w:t>
            </w:r>
          </w:p>
          <w:p w:rsidR="00333FAA" w:rsidRPr="003D78F6" w:rsidRDefault="00333FAA" w:rsidP="00A53B04">
            <w:pPr>
              <w:pStyle w:val="Infotext"/>
              <w:ind w:left="173"/>
              <w:rPr>
                <w:i/>
                <w:sz w:val="24"/>
                <w:szCs w:val="24"/>
              </w:rPr>
            </w:pPr>
            <w:r>
              <w:rPr>
                <w:rFonts w:cs="Arial"/>
                <w:i/>
                <w:sz w:val="24"/>
                <w:szCs w:val="24"/>
              </w:rPr>
              <w:t>I</w:t>
            </w:r>
            <w:r w:rsidRPr="0052010E">
              <w:rPr>
                <w:rFonts w:cs="Arial"/>
                <w:i/>
                <w:sz w:val="24"/>
                <w:szCs w:val="24"/>
                <w:lang w:eastAsia="en-GB"/>
              </w:rPr>
              <w:t>f No, set out why the decision is urgent with reference to 4b - Rule 47 of the Constitution</w:t>
            </w:r>
            <w:r>
              <w:rPr>
                <w:rFonts w:cs="Arial"/>
                <w:i/>
                <w:sz w:val="24"/>
                <w:szCs w:val="24"/>
                <w:lang w:eastAsia="en-GB"/>
              </w:rPr>
              <w:t>.</w:t>
            </w:r>
          </w:p>
        </w:tc>
      </w:tr>
    </w:tbl>
    <w:p w:rsidR="00333FAA" w:rsidRDefault="00333FAA" w:rsidP="00FA1D36">
      <w:pPr>
        <w:pStyle w:val="Infotext"/>
      </w:pPr>
    </w:p>
    <w:sectPr w:rsidR="00333FAA" w:rsidSect="001E3C06">
      <w:headerReference w:type="default" r:id="rId13"/>
      <w:headerReference w:type="first" r:id="rId14"/>
      <w:footerReference w:type="first" r:id="rId15"/>
      <w:pgSz w:w="11909" w:h="16834" w:code="9"/>
      <w:pgMar w:top="720" w:right="1800" w:bottom="1152"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9C" w:rsidRDefault="0017619C">
      <w:r>
        <w:separator/>
      </w:r>
    </w:p>
  </w:endnote>
  <w:endnote w:type="continuationSeparator" w:id="0">
    <w:p w:rsidR="0017619C" w:rsidRDefault="0017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9C" w:rsidRPr="008C69F5" w:rsidRDefault="0017619C" w:rsidP="00A53B04">
    <w:pPr>
      <w:pStyle w:val="Footer"/>
      <w:jc w:val="right"/>
      <w:rPr>
        <w:rFonts w:cs="Arial"/>
        <w:sz w:val="16"/>
        <w:szCs w:val="16"/>
      </w:rPr>
    </w:pPr>
    <w:r w:rsidRPr="00A22839">
      <w:rPr>
        <w:rFonts w:cs="Arial"/>
        <w:sz w:val="16"/>
        <w:szCs w:val="16"/>
      </w:rPr>
      <w:fldChar w:fldCharType="begin"/>
    </w:r>
    <w:r w:rsidRPr="00A22839">
      <w:rPr>
        <w:rFonts w:cs="Arial"/>
        <w:sz w:val="16"/>
        <w:szCs w:val="16"/>
      </w:rPr>
      <w:instrText xml:space="preserve"> FILENAME \p </w:instrText>
    </w:r>
    <w:r w:rsidRPr="00A22839">
      <w:rPr>
        <w:rFonts w:cs="Arial"/>
        <w:sz w:val="16"/>
        <w:szCs w:val="16"/>
      </w:rPr>
      <w:fldChar w:fldCharType="separate"/>
    </w:r>
    <w:r w:rsidR="00B14937">
      <w:rPr>
        <w:rFonts w:cs="Arial"/>
        <w:noProof/>
        <w:sz w:val="16"/>
        <w:szCs w:val="16"/>
      </w:rPr>
      <w:t>C:\Users\sdaniels\AppData\Local\Microsoft\Windows\Temporary Internet Files\Content.Outlook\KY0XYT09\Draft Capital Programme Dec 2016 Cabinet.docx</w:t>
    </w:r>
    <w:r w:rsidRPr="00A22839">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9C" w:rsidRDefault="0017619C">
      <w:r>
        <w:separator/>
      </w:r>
    </w:p>
  </w:footnote>
  <w:footnote w:type="continuationSeparator" w:id="0">
    <w:p w:rsidR="0017619C" w:rsidRDefault="00176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9C" w:rsidRDefault="001761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9C" w:rsidRDefault="001761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A1B"/>
    <w:multiLevelType w:val="hybridMultilevel"/>
    <w:tmpl w:val="C8C4AC02"/>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2A2A5C"/>
    <w:multiLevelType w:val="hybridMultilevel"/>
    <w:tmpl w:val="87A0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73167EC"/>
    <w:multiLevelType w:val="hybridMultilevel"/>
    <w:tmpl w:val="C4102A6E"/>
    <w:lvl w:ilvl="0" w:tplc="EE4097F2">
      <w:start w:val="1"/>
      <w:numFmt w:val="decimal"/>
      <w:lvlText w:val="%1."/>
      <w:lvlJc w:val="left"/>
      <w:pPr>
        <w:tabs>
          <w:tab w:val="num" w:pos="360"/>
        </w:tabs>
        <w:ind w:left="360" w:hanging="360"/>
      </w:pPr>
      <w:rPr>
        <w:rFonts w:cs="Times New Roman" w:hint="default"/>
        <w:b w:val="0"/>
        <w:i w:val="0"/>
        <w:color w:val="auto"/>
        <w:sz w:val="24"/>
        <w:szCs w:val="24"/>
      </w:rPr>
    </w:lvl>
    <w:lvl w:ilvl="1" w:tplc="918AD572">
      <w:start w:val="1"/>
      <w:numFmt w:val="bullet"/>
      <w:lvlText w:val=""/>
      <w:lvlJc w:val="left"/>
      <w:pPr>
        <w:tabs>
          <w:tab w:val="num" w:pos="1440"/>
        </w:tabs>
        <w:ind w:left="1440" w:hanging="360"/>
      </w:pPr>
      <w:rPr>
        <w:rFonts w:ascii="Symbol" w:hAnsi="Symbol" w:hint="default"/>
        <w:b w:val="0"/>
      </w:rPr>
    </w:lvl>
    <w:lvl w:ilvl="2" w:tplc="B166380C">
      <w:start w:val="1"/>
      <w:numFmt w:val="decimal"/>
      <w:lvlText w:val="%3."/>
      <w:lvlJc w:val="left"/>
      <w:pPr>
        <w:tabs>
          <w:tab w:val="num" w:pos="720"/>
        </w:tabs>
        <w:ind w:left="720" w:hanging="360"/>
      </w:pPr>
      <w:rPr>
        <w:rFonts w:cs="Times New Roman" w:hint="default"/>
        <w:b w:val="0"/>
        <w:i w:val="0"/>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BFC3755"/>
    <w:multiLevelType w:val="hybridMultilevel"/>
    <w:tmpl w:val="0944B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3E32E5"/>
    <w:multiLevelType w:val="hybridMultilevel"/>
    <w:tmpl w:val="56206A2E"/>
    <w:lvl w:ilvl="0" w:tplc="9F50510A">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908"/>
        </w:tabs>
        <w:ind w:left="2908" w:hanging="360"/>
      </w:pPr>
      <w:rPr>
        <w:rFonts w:ascii="Courier New" w:hAnsi="Courier New" w:hint="default"/>
      </w:rPr>
    </w:lvl>
    <w:lvl w:ilvl="2" w:tplc="08090005">
      <w:start w:val="1"/>
      <w:numFmt w:val="bullet"/>
      <w:lvlText w:val=""/>
      <w:lvlJc w:val="left"/>
      <w:pPr>
        <w:tabs>
          <w:tab w:val="num" w:pos="3628"/>
        </w:tabs>
        <w:ind w:left="3628" w:hanging="360"/>
      </w:pPr>
      <w:rPr>
        <w:rFonts w:ascii="Wingdings" w:hAnsi="Wingdings" w:hint="default"/>
      </w:rPr>
    </w:lvl>
    <w:lvl w:ilvl="3" w:tplc="08090001">
      <w:start w:val="1"/>
      <w:numFmt w:val="bullet"/>
      <w:lvlText w:val=""/>
      <w:lvlJc w:val="left"/>
      <w:pPr>
        <w:tabs>
          <w:tab w:val="num" w:pos="4348"/>
        </w:tabs>
        <w:ind w:left="4348" w:hanging="360"/>
      </w:pPr>
      <w:rPr>
        <w:rFonts w:ascii="Symbol" w:hAnsi="Symbol" w:hint="default"/>
      </w:rPr>
    </w:lvl>
    <w:lvl w:ilvl="4" w:tplc="08090003">
      <w:start w:val="1"/>
      <w:numFmt w:val="bullet"/>
      <w:lvlText w:val="o"/>
      <w:lvlJc w:val="left"/>
      <w:pPr>
        <w:tabs>
          <w:tab w:val="num" w:pos="5068"/>
        </w:tabs>
        <w:ind w:left="5068" w:hanging="360"/>
      </w:pPr>
      <w:rPr>
        <w:rFonts w:ascii="Courier New" w:hAnsi="Courier New" w:hint="default"/>
      </w:rPr>
    </w:lvl>
    <w:lvl w:ilvl="5" w:tplc="08090005">
      <w:start w:val="1"/>
      <w:numFmt w:val="bullet"/>
      <w:lvlText w:val=""/>
      <w:lvlJc w:val="left"/>
      <w:pPr>
        <w:tabs>
          <w:tab w:val="num" w:pos="5788"/>
        </w:tabs>
        <w:ind w:left="5788" w:hanging="360"/>
      </w:pPr>
      <w:rPr>
        <w:rFonts w:ascii="Wingdings" w:hAnsi="Wingdings" w:hint="default"/>
      </w:rPr>
    </w:lvl>
    <w:lvl w:ilvl="6" w:tplc="08090001">
      <w:start w:val="1"/>
      <w:numFmt w:val="bullet"/>
      <w:lvlText w:val=""/>
      <w:lvlJc w:val="left"/>
      <w:pPr>
        <w:tabs>
          <w:tab w:val="num" w:pos="6508"/>
        </w:tabs>
        <w:ind w:left="6508" w:hanging="360"/>
      </w:pPr>
      <w:rPr>
        <w:rFonts w:ascii="Symbol" w:hAnsi="Symbol" w:hint="default"/>
      </w:rPr>
    </w:lvl>
    <w:lvl w:ilvl="7" w:tplc="08090003">
      <w:start w:val="1"/>
      <w:numFmt w:val="bullet"/>
      <w:lvlText w:val="o"/>
      <w:lvlJc w:val="left"/>
      <w:pPr>
        <w:tabs>
          <w:tab w:val="num" w:pos="7228"/>
        </w:tabs>
        <w:ind w:left="7228" w:hanging="360"/>
      </w:pPr>
      <w:rPr>
        <w:rFonts w:ascii="Courier New" w:hAnsi="Courier New" w:hint="default"/>
      </w:rPr>
    </w:lvl>
    <w:lvl w:ilvl="8" w:tplc="08090005">
      <w:start w:val="1"/>
      <w:numFmt w:val="bullet"/>
      <w:lvlText w:val=""/>
      <w:lvlJc w:val="left"/>
      <w:pPr>
        <w:tabs>
          <w:tab w:val="num" w:pos="7948"/>
        </w:tabs>
        <w:ind w:left="7948" w:hanging="360"/>
      </w:pPr>
      <w:rPr>
        <w:rFonts w:ascii="Wingdings" w:hAnsi="Wingdings" w:hint="default"/>
      </w:rPr>
    </w:lvl>
  </w:abstractNum>
  <w:abstractNum w:abstractNumId="1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E070FE4"/>
    <w:multiLevelType w:val="hybridMultilevel"/>
    <w:tmpl w:val="D91221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C4735A"/>
    <w:multiLevelType w:val="hybridMultilevel"/>
    <w:tmpl w:val="C66CC31C"/>
    <w:lvl w:ilvl="0" w:tplc="E6E09C50">
      <w:start w:val="5"/>
      <w:numFmt w:val="decimal"/>
      <w:lvlText w:val="%1."/>
      <w:lvlJc w:val="left"/>
      <w:pPr>
        <w:tabs>
          <w:tab w:val="num" w:pos="360"/>
        </w:tabs>
        <w:ind w:left="360" w:hanging="360"/>
      </w:pPr>
      <w:rPr>
        <w:rFonts w:cs="Times New Roman" w:hint="default"/>
      </w:rPr>
    </w:lvl>
    <w:lvl w:ilvl="1" w:tplc="918AD572">
      <w:start w:val="1"/>
      <w:numFmt w:val="bullet"/>
      <w:lvlText w:val=""/>
      <w:lvlJc w:val="left"/>
      <w:pPr>
        <w:tabs>
          <w:tab w:val="num" w:pos="1080"/>
        </w:tabs>
        <w:ind w:left="1080" w:hanging="360"/>
      </w:pPr>
      <w:rPr>
        <w:rFonts w:ascii="Symbol" w:hAnsi="Symbol" w:hint="default"/>
      </w:rPr>
    </w:lvl>
    <w:lvl w:ilvl="2" w:tplc="BE2063CE">
      <w:start w:val="1"/>
      <w:numFmt w:val="lowerRoman"/>
      <w:lvlText w:val="%3)"/>
      <w:lvlJc w:val="left"/>
      <w:pPr>
        <w:tabs>
          <w:tab w:val="num" w:pos="2340"/>
        </w:tabs>
        <w:ind w:left="2340" w:hanging="72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4944E5D"/>
    <w:multiLevelType w:val="hybridMultilevel"/>
    <w:tmpl w:val="9E34C004"/>
    <w:lvl w:ilvl="0" w:tplc="0809000F">
      <w:start w:val="1"/>
      <w:numFmt w:val="decimal"/>
      <w:lvlText w:val="%1."/>
      <w:lvlJc w:val="left"/>
      <w:pPr>
        <w:tabs>
          <w:tab w:val="num" w:pos="720"/>
        </w:tabs>
        <w:ind w:left="720" w:hanging="360"/>
      </w:pPr>
      <w:rPr>
        <w:rFonts w:cs="Times New Roman" w:hint="default"/>
      </w:rPr>
    </w:lvl>
    <w:lvl w:ilvl="1" w:tplc="D9B0EFA2">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2">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4E1149C"/>
    <w:multiLevelType w:val="hybridMultilevel"/>
    <w:tmpl w:val="CEDC453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0">
    <w:nsid w:val="6A687074"/>
    <w:multiLevelType w:val="hybridMultilevel"/>
    <w:tmpl w:val="BE3816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1">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120AFF"/>
    <w:multiLevelType w:val="hybridMultilevel"/>
    <w:tmpl w:val="8A1CF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9"/>
  </w:num>
  <w:num w:numId="3">
    <w:abstractNumId w:val="12"/>
  </w:num>
  <w:num w:numId="4">
    <w:abstractNumId w:val="34"/>
  </w:num>
  <w:num w:numId="5">
    <w:abstractNumId w:val="28"/>
  </w:num>
  <w:num w:numId="6">
    <w:abstractNumId w:val="15"/>
  </w:num>
  <w:num w:numId="7">
    <w:abstractNumId w:val="2"/>
  </w:num>
  <w:num w:numId="8">
    <w:abstractNumId w:val="22"/>
  </w:num>
  <w:num w:numId="9">
    <w:abstractNumId w:val="23"/>
  </w:num>
  <w:num w:numId="10">
    <w:abstractNumId w:val="32"/>
  </w:num>
  <w:num w:numId="11">
    <w:abstractNumId w:val="10"/>
  </w:num>
  <w:num w:numId="12">
    <w:abstractNumId w:val="20"/>
  </w:num>
  <w:num w:numId="13">
    <w:abstractNumId w:val="21"/>
  </w:num>
  <w:num w:numId="14">
    <w:abstractNumId w:val="11"/>
  </w:num>
  <w:num w:numId="15">
    <w:abstractNumId w:val="25"/>
  </w:num>
  <w:num w:numId="16">
    <w:abstractNumId w:val="13"/>
  </w:num>
  <w:num w:numId="17">
    <w:abstractNumId w:val="27"/>
  </w:num>
  <w:num w:numId="18">
    <w:abstractNumId w:val="18"/>
  </w:num>
  <w:num w:numId="19">
    <w:abstractNumId w:val="31"/>
  </w:num>
  <w:num w:numId="20">
    <w:abstractNumId w:val="4"/>
  </w:num>
  <w:num w:numId="21">
    <w:abstractNumId w:val="1"/>
  </w:num>
  <w:num w:numId="22">
    <w:abstractNumId w:val="5"/>
  </w:num>
  <w:num w:numId="23">
    <w:abstractNumId w:val="24"/>
  </w:num>
  <w:num w:numId="24">
    <w:abstractNumId w:val="7"/>
  </w:num>
  <w:num w:numId="25">
    <w:abstractNumId w:val="16"/>
  </w:num>
  <w:num w:numId="26">
    <w:abstractNumId w:val="0"/>
  </w:num>
  <w:num w:numId="27">
    <w:abstractNumId w:val="6"/>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9"/>
  </w:num>
  <w:num w:numId="32">
    <w:abstractNumId w:val="33"/>
  </w:num>
  <w:num w:numId="3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displayVertic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7/11/2015 17:26"/>
  </w:docVars>
  <w:rsids>
    <w:rsidRoot w:val="00333FAA"/>
    <w:rsid w:val="0000089B"/>
    <w:rsid w:val="00012D4E"/>
    <w:rsid w:val="0004029A"/>
    <w:rsid w:val="00040D5B"/>
    <w:rsid w:val="000429FF"/>
    <w:rsid w:val="0006034E"/>
    <w:rsid w:val="00063783"/>
    <w:rsid w:val="00072057"/>
    <w:rsid w:val="00072413"/>
    <w:rsid w:val="00073765"/>
    <w:rsid w:val="0008612D"/>
    <w:rsid w:val="000864E7"/>
    <w:rsid w:val="000B788F"/>
    <w:rsid w:val="000C14C9"/>
    <w:rsid w:val="000C1C72"/>
    <w:rsid w:val="000D1EBB"/>
    <w:rsid w:val="000D4DCF"/>
    <w:rsid w:val="000F0E6F"/>
    <w:rsid w:val="00105B2C"/>
    <w:rsid w:val="001161E4"/>
    <w:rsid w:val="00125A26"/>
    <w:rsid w:val="0015448F"/>
    <w:rsid w:val="0017619C"/>
    <w:rsid w:val="001840D2"/>
    <w:rsid w:val="001931D8"/>
    <w:rsid w:val="001966D7"/>
    <w:rsid w:val="001B7F07"/>
    <w:rsid w:val="001C4D2E"/>
    <w:rsid w:val="001C7E35"/>
    <w:rsid w:val="001D438F"/>
    <w:rsid w:val="001E3C06"/>
    <w:rsid w:val="001F0BE9"/>
    <w:rsid w:val="001F44EC"/>
    <w:rsid w:val="00202D79"/>
    <w:rsid w:val="00205D2F"/>
    <w:rsid w:val="00210415"/>
    <w:rsid w:val="002138BE"/>
    <w:rsid w:val="00215E8F"/>
    <w:rsid w:val="002478C4"/>
    <w:rsid w:val="002548D1"/>
    <w:rsid w:val="00261477"/>
    <w:rsid w:val="0028019B"/>
    <w:rsid w:val="0028164B"/>
    <w:rsid w:val="002B54A6"/>
    <w:rsid w:val="002F31B1"/>
    <w:rsid w:val="002F3EE9"/>
    <w:rsid w:val="00315E65"/>
    <w:rsid w:val="00333FAA"/>
    <w:rsid w:val="003355D7"/>
    <w:rsid w:val="0036201C"/>
    <w:rsid w:val="00373D62"/>
    <w:rsid w:val="00395BE1"/>
    <w:rsid w:val="003B44AD"/>
    <w:rsid w:val="003D609A"/>
    <w:rsid w:val="004076C8"/>
    <w:rsid w:val="00421A4C"/>
    <w:rsid w:val="00432899"/>
    <w:rsid w:val="004363F7"/>
    <w:rsid w:val="00461E22"/>
    <w:rsid w:val="00471C1F"/>
    <w:rsid w:val="00480518"/>
    <w:rsid w:val="004A76E0"/>
    <w:rsid w:val="004C0246"/>
    <w:rsid w:val="004D2DA0"/>
    <w:rsid w:val="004E14A4"/>
    <w:rsid w:val="004E72BB"/>
    <w:rsid w:val="005354D0"/>
    <w:rsid w:val="0054590F"/>
    <w:rsid w:val="00566EB8"/>
    <w:rsid w:val="005718B5"/>
    <w:rsid w:val="005808FB"/>
    <w:rsid w:val="005867D6"/>
    <w:rsid w:val="005A0FFD"/>
    <w:rsid w:val="005B17A9"/>
    <w:rsid w:val="005B1B67"/>
    <w:rsid w:val="005B32A5"/>
    <w:rsid w:val="005B3F67"/>
    <w:rsid w:val="005D6EF5"/>
    <w:rsid w:val="005E3A10"/>
    <w:rsid w:val="005E7509"/>
    <w:rsid w:val="00627675"/>
    <w:rsid w:val="00655044"/>
    <w:rsid w:val="00662C0B"/>
    <w:rsid w:val="00670F17"/>
    <w:rsid w:val="00693072"/>
    <w:rsid w:val="00696A83"/>
    <w:rsid w:val="006A7CB2"/>
    <w:rsid w:val="006D68FB"/>
    <w:rsid w:val="006F057C"/>
    <w:rsid w:val="006F22DA"/>
    <w:rsid w:val="006F2EB3"/>
    <w:rsid w:val="006F57C2"/>
    <w:rsid w:val="007010E5"/>
    <w:rsid w:val="00714BEE"/>
    <w:rsid w:val="00721215"/>
    <w:rsid w:val="007510B9"/>
    <w:rsid w:val="007B23FC"/>
    <w:rsid w:val="007C49E5"/>
    <w:rsid w:val="007D0C1D"/>
    <w:rsid w:val="007D4DBF"/>
    <w:rsid w:val="007E4732"/>
    <w:rsid w:val="007F004E"/>
    <w:rsid w:val="007F4BDA"/>
    <w:rsid w:val="00812901"/>
    <w:rsid w:val="00826B9A"/>
    <w:rsid w:val="008648EE"/>
    <w:rsid w:val="008916DC"/>
    <w:rsid w:val="008D49CA"/>
    <w:rsid w:val="008D78F9"/>
    <w:rsid w:val="008E224D"/>
    <w:rsid w:val="009151D2"/>
    <w:rsid w:val="009248A8"/>
    <w:rsid w:val="009334A0"/>
    <w:rsid w:val="009336D7"/>
    <w:rsid w:val="00990E9C"/>
    <w:rsid w:val="009B160B"/>
    <w:rsid w:val="009D4BC8"/>
    <w:rsid w:val="009D5B8D"/>
    <w:rsid w:val="009F5818"/>
    <w:rsid w:val="00A20113"/>
    <w:rsid w:val="00A22839"/>
    <w:rsid w:val="00A3257F"/>
    <w:rsid w:val="00A33185"/>
    <w:rsid w:val="00A41570"/>
    <w:rsid w:val="00A53B04"/>
    <w:rsid w:val="00A601DE"/>
    <w:rsid w:val="00A7271A"/>
    <w:rsid w:val="00A82C85"/>
    <w:rsid w:val="00AA280B"/>
    <w:rsid w:val="00AA5479"/>
    <w:rsid w:val="00AB795F"/>
    <w:rsid w:val="00AC6312"/>
    <w:rsid w:val="00B1160D"/>
    <w:rsid w:val="00B14937"/>
    <w:rsid w:val="00B335AC"/>
    <w:rsid w:val="00B4220B"/>
    <w:rsid w:val="00B44F1D"/>
    <w:rsid w:val="00B53EFF"/>
    <w:rsid w:val="00B54AFA"/>
    <w:rsid w:val="00B57442"/>
    <w:rsid w:val="00B804E8"/>
    <w:rsid w:val="00BB36D9"/>
    <w:rsid w:val="00BC19E9"/>
    <w:rsid w:val="00BC206C"/>
    <w:rsid w:val="00C01297"/>
    <w:rsid w:val="00C01A35"/>
    <w:rsid w:val="00C57267"/>
    <w:rsid w:val="00C64714"/>
    <w:rsid w:val="00C90DB3"/>
    <w:rsid w:val="00C9233F"/>
    <w:rsid w:val="00CE3352"/>
    <w:rsid w:val="00CF0FC4"/>
    <w:rsid w:val="00CF6932"/>
    <w:rsid w:val="00D15CFA"/>
    <w:rsid w:val="00D27997"/>
    <w:rsid w:val="00D372BF"/>
    <w:rsid w:val="00D37F2F"/>
    <w:rsid w:val="00D47AA9"/>
    <w:rsid w:val="00D72D2D"/>
    <w:rsid w:val="00D835CF"/>
    <w:rsid w:val="00D851C2"/>
    <w:rsid w:val="00D90A37"/>
    <w:rsid w:val="00DA26FB"/>
    <w:rsid w:val="00DB0292"/>
    <w:rsid w:val="00DB6C3D"/>
    <w:rsid w:val="00DC5ACF"/>
    <w:rsid w:val="00DD5CA2"/>
    <w:rsid w:val="00DE6A36"/>
    <w:rsid w:val="00DE71D3"/>
    <w:rsid w:val="00DF08A0"/>
    <w:rsid w:val="00DF0973"/>
    <w:rsid w:val="00E21E6B"/>
    <w:rsid w:val="00E23647"/>
    <w:rsid w:val="00E6003D"/>
    <w:rsid w:val="00E80B8B"/>
    <w:rsid w:val="00E8313E"/>
    <w:rsid w:val="00E856A8"/>
    <w:rsid w:val="00E90F74"/>
    <w:rsid w:val="00EB5E57"/>
    <w:rsid w:val="00F5649A"/>
    <w:rsid w:val="00F82342"/>
    <w:rsid w:val="00F91AE4"/>
    <w:rsid w:val="00FA1D36"/>
    <w:rsid w:val="00FB1231"/>
    <w:rsid w:val="00FB51BC"/>
    <w:rsid w:val="00FE17E2"/>
    <w:rsid w:val="00FF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2Char">
    <w:name w:val="Heading 2 Char"/>
    <w:basedOn w:val="DefaultParagraphFont"/>
    <w:link w:val="Heading2"/>
    <w:locked/>
    <w:rsid w:val="00105B2C"/>
    <w:rPr>
      <w:rFonts w:ascii="Arial" w:hAnsi="Arial" w:cs="Arial"/>
      <w:b/>
      <w:bCs/>
      <w:sz w:val="28"/>
      <w:szCs w:val="32"/>
      <w:lang w:eastAsia="en-US"/>
    </w:rPr>
  </w:style>
  <w:style w:type="paragraph" w:styleId="BodyTextIndent">
    <w:name w:val="Body Text Indent"/>
    <w:basedOn w:val="Normal"/>
    <w:link w:val="BodyTextIndentChar"/>
    <w:rsid w:val="00480518"/>
    <w:pPr>
      <w:spacing w:after="120"/>
      <w:ind w:left="283"/>
    </w:pPr>
  </w:style>
  <w:style w:type="character" w:customStyle="1" w:styleId="BodyTextIndentChar">
    <w:name w:val="Body Text Indent Char"/>
    <w:basedOn w:val="DefaultParagraphFont"/>
    <w:link w:val="BodyTextIndent"/>
    <w:rsid w:val="00480518"/>
    <w:rPr>
      <w:rFonts w:ascii="Arial" w:hAnsi="Arial"/>
      <w:sz w:val="24"/>
      <w:lang w:eastAsia="en-US"/>
    </w:rPr>
  </w:style>
  <w:style w:type="paragraph" w:styleId="ListParagraph">
    <w:name w:val="List Paragraph"/>
    <w:basedOn w:val="Normal"/>
    <w:uiPriority w:val="34"/>
    <w:qFormat/>
    <w:rsid w:val="00DF0973"/>
    <w:pPr>
      <w:ind w:left="720"/>
      <w:contextualSpacing/>
    </w:pPr>
  </w:style>
  <w:style w:type="paragraph" w:styleId="BalloonText">
    <w:name w:val="Balloon Text"/>
    <w:basedOn w:val="Normal"/>
    <w:link w:val="BalloonTextChar"/>
    <w:rsid w:val="001931D8"/>
    <w:rPr>
      <w:rFonts w:ascii="Tahoma" w:hAnsi="Tahoma" w:cs="Tahoma"/>
      <w:sz w:val="16"/>
      <w:szCs w:val="16"/>
    </w:rPr>
  </w:style>
  <w:style w:type="character" w:customStyle="1" w:styleId="BalloonTextChar">
    <w:name w:val="Balloon Text Char"/>
    <w:basedOn w:val="DefaultParagraphFont"/>
    <w:link w:val="BalloonText"/>
    <w:rsid w:val="001931D8"/>
    <w:rPr>
      <w:rFonts w:ascii="Tahoma" w:hAnsi="Tahoma" w:cs="Tahoma"/>
      <w:sz w:val="16"/>
      <w:szCs w:val="16"/>
      <w:lang w:eastAsia="en-US"/>
    </w:rPr>
  </w:style>
  <w:style w:type="character" w:styleId="CommentReference">
    <w:name w:val="annotation reference"/>
    <w:basedOn w:val="DefaultParagraphFont"/>
    <w:rsid w:val="006F57C2"/>
    <w:rPr>
      <w:sz w:val="16"/>
      <w:szCs w:val="16"/>
    </w:rPr>
  </w:style>
  <w:style w:type="paragraph" w:styleId="CommentText">
    <w:name w:val="annotation text"/>
    <w:basedOn w:val="Normal"/>
    <w:link w:val="CommentTextChar"/>
    <w:rsid w:val="006F57C2"/>
    <w:rPr>
      <w:sz w:val="20"/>
    </w:rPr>
  </w:style>
  <w:style w:type="character" w:customStyle="1" w:styleId="CommentTextChar">
    <w:name w:val="Comment Text Char"/>
    <w:basedOn w:val="DefaultParagraphFont"/>
    <w:link w:val="CommentText"/>
    <w:rsid w:val="006F57C2"/>
    <w:rPr>
      <w:rFonts w:ascii="Arial" w:hAnsi="Arial"/>
      <w:lang w:eastAsia="en-US"/>
    </w:rPr>
  </w:style>
  <w:style w:type="paragraph" w:styleId="CommentSubject">
    <w:name w:val="annotation subject"/>
    <w:basedOn w:val="CommentText"/>
    <w:next w:val="CommentText"/>
    <w:link w:val="CommentSubjectChar"/>
    <w:rsid w:val="006F57C2"/>
    <w:rPr>
      <w:b/>
      <w:bCs/>
    </w:rPr>
  </w:style>
  <w:style w:type="character" w:customStyle="1" w:styleId="CommentSubjectChar">
    <w:name w:val="Comment Subject Char"/>
    <w:basedOn w:val="CommentTextChar"/>
    <w:link w:val="CommentSubject"/>
    <w:rsid w:val="006F57C2"/>
    <w:rPr>
      <w:rFonts w:ascii="Arial" w:hAnsi="Arial"/>
      <w:b/>
      <w:bCs/>
      <w:lang w:eastAsia="en-US"/>
    </w:rPr>
  </w:style>
  <w:style w:type="paragraph" w:styleId="Revision">
    <w:name w:val="Revision"/>
    <w:hidden/>
    <w:uiPriority w:val="99"/>
    <w:semiHidden/>
    <w:rsid w:val="005A0FFD"/>
    <w:rPr>
      <w:rFonts w:ascii="Arial" w:hAnsi="Arial"/>
      <w:sz w:val="24"/>
      <w:lang w:eastAsia="en-US"/>
    </w:rPr>
  </w:style>
  <w:style w:type="paragraph" w:customStyle="1" w:styleId="CharCharCharChar0">
    <w:name w:val="Char Char Char Char"/>
    <w:basedOn w:val="Normal"/>
    <w:locked/>
    <w:rsid w:val="00D372BF"/>
    <w:pPr>
      <w:spacing w:after="160" w:line="240" w:lineRule="exact"/>
    </w:pPr>
    <w:rPr>
      <w:rFonts w:ascii="Verdana" w:hAnsi="Verdan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2Char">
    <w:name w:val="Heading 2 Char"/>
    <w:basedOn w:val="DefaultParagraphFont"/>
    <w:link w:val="Heading2"/>
    <w:locked/>
    <w:rsid w:val="00105B2C"/>
    <w:rPr>
      <w:rFonts w:ascii="Arial" w:hAnsi="Arial" w:cs="Arial"/>
      <w:b/>
      <w:bCs/>
      <w:sz w:val="28"/>
      <w:szCs w:val="32"/>
      <w:lang w:eastAsia="en-US"/>
    </w:rPr>
  </w:style>
  <w:style w:type="paragraph" w:styleId="BodyTextIndent">
    <w:name w:val="Body Text Indent"/>
    <w:basedOn w:val="Normal"/>
    <w:link w:val="BodyTextIndentChar"/>
    <w:rsid w:val="00480518"/>
    <w:pPr>
      <w:spacing w:after="120"/>
      <w:ind w:left="283"/>
    </w:pPr>
  </w:style>
  <w:style w:type="character" w:customStyle="1" w:styleId="BodyTextIndentChar">
    <w:name w:val="Body Text Indent Char"/>
    <w:basedOn w:val="DefaultParagraphFont"/>
    <w:link w:val="BodyTextIndent"/>
    <w:rsid w:val="00480518"/>
    <w:rPr>
      <w:rFonts w:ascii="Arial" w:hAnsi="Arial"/>
      <w:sz w:val="24"/>
      <w:lang w:eastAsia="en-US"/>
    </w:rPr>
  </w:style>
  <w:style w:type="paragraph" w:styleId="ListParagraph">
    <w:name w:val="List Paragraph"/>
    <w:basedOn w:val="Normal"/>
    <w:uiPriority w:val="34"/>
    <w:qFormat/>
    <w:rsid w:val="00DF0973"/>
    <w:pPr>
      <w:ind w:left="720"/>
      <w:contextualSpacing/>
    </w:pPr>
  </w:style>
  <w:style w:type="paragraph" w:styleId="BalloonText">
    <w:name w:val="Balloon Text"/>
    <w:basedOn w:val="Normal"/>
    <w:link w:val="BalloonTextChar"/>
    <w:rsid w:val="001931D8"/>
    <w:rPr>
      <w:rFonts w:ascii="Tahoma" w:hAnsi="Tahoma" w:cs="Tahoma"/>
      <w:sz w:val="16"/>
      <w:szCs w:val="16"/>
    </w:rPr>
  </w:style>
  <w:style w:type="character" w:customStyle="1" w:styleId="BalloonTextChar">
    <w:name w:val="Balloon Text Char"/>
    <w:basedOn w:val="DefaultParagraphFont"/>
    <w:link w:val="BalloonText"/>
    <w:rsid w:val="001931D8"/>
    <w:rPr>
      <w:rFonts w:ascii="Tahoma" w:hAnsi="Tahoma" w:cs="Tahoma"/>
      <w:sz w:val="16"/>
      <w:szCs w:val="16"/>
      <w:lang w:eastAsia="en-US"/>
    </w:rPr>
  </w:style>
  <w:style w:type="character" w:styleId="CommentReference">
    <w:name w:val="annotation reference"/>
    <w:basedOn w:val="DefaultParagraphFont"/>
    <w:rsid w:val="006F57C2"/>
    <w:rPr>
      <w:sz w:val="16"/>
      <w:szCs w:val="16"/>
    </w:rPr>
  </w:style>
  <w:style w:type="paragraph" w:styleId="CommentText">
    <w:name w:val="annotation text"/>
    <w:basedOn w:val="Normal"/>
    <w:link w:val="CommentTextChar"/>
    <w:rsid w:val="006F57C2"/>
    <w:rPr>
      <w:sz w:val="20"/>
    </w:rPr>
  </w:style>
  <w:style w:type="character" w:customStyle="1" w:styleId="CommentTextChar">
    <w:name w:val="Comment Text Char"/>
    <w:basedOn w:val="DefaultParagraphFont"/>
    <w:link w:val="CommentText"/>
    <w:rsid w:val="006F57C2"/>
    <w:rPr>
      <w:rFonts w:ascii="Arial" w:hAnsi="Arial"/>
      <w:lang w:eastAsia="en-US"/>
    </w:rPr>
  </w:style>
  <w:style w:type="paragraph" w:styleId="CommentSubject">
    <w:name w:val="annotation subject"/>
    <w:basedOn w:val="CommentText"/>
    <w:next w:val="CommentText"/>
    <w:link w:val="CommentSubjectChar"/>
    <w:rsid w:val="006F57C2"/>
    <w:rPr>
      <w:b/>
      <w:bCs/>
    </w:rPr>
  </w:style>
  <w:style w:type="character" w:customStyle="1" w:styleId="CommentSubjectChar">
    <w:name w:val="Comment Subject Char"/>
    <w:basedOn w:val="CommentTextChar"/>
    <w:link w:val="CommentSubject"/>
    <w:rsid w:val="006F57C2"/>
    <w:rPr>
      <w:rFonts w:ascii="Arial" w:hAnsi="Arial"/>
      <w:b/>
      <w:bCs/>
      <w:lang w:eastAsia="en-US"/>
    </w:rPr>
  </w:style>
  <w:style w:type="paragraph" w:styleId="Revision">
    <w:name w:val="Revision"/>
    <w:hidden/>
    <w:uiPriority w:val="99"/>
    <w:semiHidden/>
    <w:rsid w:val="005A0FFD"/>
    <w:rPr>
      <w:rFonts w:ascii="Arial" w:hAnsi="Arial"/>
      <w:sz w:val="24"/>
      <w:lang w:eastAsia="en-US"/>
    </w:rPr>
  </w:style>
  <w:style w:type="paragraph" w:customStyle="1" w:styleId="CharCharCharChar0">
    <w:name w:val="Char Char Char Char"/>
    <w:basedOn w:val="Normal"/>
    <w:locked/>
    <w:rsid w:val="00D372BF"/>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646">
      <w:bodyDiv w:val="1"/>
      <w:marLeft w:val="0"/>
      <w:marRight w:val="0"/>
      <w:marTop w:val="0"/>
      <w:marBottom w:val="0"/>
      <w:divBdr>
        <w:top w:val="none" w:sz="0" w:space="0" w:color="auto"/>
        <w:left w:val="none" w:sz="0" w:space="0" w:color="auto"/>
        <w:bottom w:val="none" w:sz="0" w:space="0" w:color="auto"/>
        <w:right w:val="none" w:sz="0" w:space="0" w:color="auto"/>
      </w:divBdr>
    </w:div>
    <w:div w:id="227963972">
      <w:bodyDiv w:val="1"/>
      <w:marLeft w:val="0"/>
      <w:marRight w:val="0"/>
      <w:marTop w:val="0"/>
      <w:marBottom w:val="0"/>
      <w:divBdr>
        <w:top w:val="none" w:sz="0" w:space="0" w:color="auto"/>
        <w:left w:val="none" w:sz="0" w:space="0" w:color="auto"/>
        <w:bottom w:val="none" w:sz="0" w:space="0" w:color="auto"/>
        <w:right w:val="none" w:sz="0" w:space="0" w:color="auto"/>
      </w:divBdr>
    </w:div>
    <w:div w:id="449932414">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56240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on.daniels@harrow.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3899A-68B9-4A4D-8A1B-0A7BE342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2169</Words>
  <Characters>11866</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14007</CharactersWithSpaces>
  <SharedDoc>false</SharedDoc>
  <HLinks>
    <vt:vector size="12" baseType="variant">
      <vt:variant>
        <vt:i4>2556019</vt:i4>
      </vt:variant>
      <vt:variant>
        <vt:i4>3</vt:i4>
      </vt:variant>
      <vt:variant>
        <vt:i4>0</vt:i4>
      </vt:variant>
      <vt:variant>
        <vt:i4>5</vt:i4>
      </vt:variant>
      <vt:variant>
        <vt:lpwstr>http://harrowhub/info/200143/equality_and_diversity/1201/policies_and_legislation/8</vt:lpwstr>
      </vt:variant>
      <vt:variant>
        <vt:lpwstr/>
      </vt:variant>
      <vt:variant>
        <vt:i4>983110</vt:i4>
      </vt:variant>
      <vt:variant>
        <vt:i4>0</vt:i4>
      </vt:variant>
      <vt:variant>
        <vt:i4>0</vt:i4>
      </vt:variant>
      <vt:variant>
        <vt:i4>5</vt:i4>
      </vt:variant>
      <vt:variant>
        <vt:lpwstr>http://www.energysavingtrust.org.uk/nottingham/Nottingham-Declaration/Advice-for-Council-Services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Sharon Daniels</cp:lastModifiedBy>
  <cp:revision>4</cp:revision>
  <cp:lastPrinted>2016-11-15T08:54:00Z</cp:lastPrinted>
  <dcterms:created xsi:type="dcterms:W3CDTF">2016-11-28T09:09:00Z</dcterms:created>
  <dcterms:modified xsi:type="dcterms:W3CDTF">2016-11-28T17:34:00Z</dcterms:modified>
</cp:coreProperties>
</file>